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天津市农业农村委员会</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 市农业农村委员会是市政府组成部门，为正局级，加挂市乡村振兴局牌子。</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 xml:space="preserve">    市农业农村委员会贯彻落实党中央关于“三农”工作的方针政策、党中央和市委关于“三农”工作的决策部署，在履行职责过程中坚持和加强党对“三农”工作的集中统一领导。主要职责是：</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 xml:space="preserve">    （一）统筹研究和组织实施本市“三农”工作的发展战略、中长期规划、重大政策。贯彻落实“三农”工作法律法规，研究起草有关地方性法规、政府规章草案，拟订相关地方性规范、标准，并组织实施。指导农业综合执法，参与涉农的财税、价格、收储、金融保险、进出口等政策制定。</w:t>
      </w:r>
    </w:p>
    <w:p>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（二）统筹推动发展农村社会事业、农村公共服务、农村文化、农村基础设施和乡村治理。牵头组织改善农村人居环境。指导农村精神文明和优秀农耕文化建设。</w:t>
      </w:r>
    </w:p>
    <w:p>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三）拟订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 xml:space="preserve">    （四）指导乡村特色产业、农产品加工业、休闲农业和乡镇企业发展工作。提出促进大宗农产品流通的建议，培育、保护农业品牌。发布农业农村经济信息，监测分析农业农村经济运行。承担农业统计和农业农村信息化有关工作。</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 xml:space="preserve">    （五）负责种植业、畜牧业、渔业、农垦、农业机械化等农业各产业的监督管理。指导粮食等农产品生产。组织构建现代农业产业体系、生产体系、经营体系，指导农业标准化生产。负责远洋渔业管理和渔政渔港监督管理。指导农业机械化发展和农机安全监理。负责农业领域安全生产监督管理工作。</w:t>
      </w:r>
    </w:p>
    <w:p>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（六）负责农产品质量安全监督管理。组织开展农产品质量安全监测、追溯、风险评估。会同有关部门实施农产品质量安全国家标准。指导农业检验检测体系建设。</w:t>
      </w:r>
    </w:p>
    <w:p>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七）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八）负责有关农业生产资料和农业投入品的监督管理。组织农业生产资料市场体系建设，监督有关农业生产资料国家标准实施。实施兽药质量、兽药残留限量和残留检测方法国家标准。组织兽医医政、兽药药政药检工作，负责执业兽医和畜禽屠宰行业管理。</w:t>
      </w:r>
    </w:p>
    <w:p>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（九）负责农业防灾减灾、农作物重大病虫害防治工作。指导动植物防疫检疫体系建设，组织、监督动植物防疫检疫工作，根据权限发布疫情并组织扑灭。</w:t>
      </w:r>
    </w:p>
    <w:p>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负责农业投资管理。编制市级投资安排的农业投资项目建设规划，提出农业投资规模和方向、扶持农业农村发展财政项目的建议，按市政府规定权限审批农业投资项目，负责农业投资项目资金安排和监督管理。负责农业综合开发项目、农田整治项目、农田水利建设项目管理工作。</w:t>
      </w:r>
    </w:p>
    <w:p>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（十二）指导农业农村人才工作。拟订农业农村人才队伍建设规划并组织实施，指导农业教育和农业职业技能开发，指导新型职业农民培育、农业科技人才培养和农村实用人才培训工作。</w:t>
      </w:r>
    </w:p>
    <w:p>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（十三）牵头开展农业对外合作工作。组织推动农业领域招商引资、引进技术和智力及对外交流，组织开展农业贸易促进和有关国际交流合作，参与实施国家间有关农业援助项目。</w:t>
      </w:r>
    </w:p>
    <w:p>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（十四）完成市委、市政府交办的其他事项。</w:t>
      </w:r>
    </w:p>
    <w:p>
      <w:pPr>
        <w:keepNext/>
        <w:keepLines/>
        <w:autoSpaceDE w:val="0"/>
        <w:autoSpaceDN w:val="0"/>
        <w:adjustRightInd w:val="0"/>
        <w:spacing w:line="6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spacing w:line="600" w:lineRule="exac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    天津市农业农村委员会内设29个职能处室；下辖12个预算单位。纳入天津市农业农村委员会2023年度部门决算编制范围的单位包括：</w:t>
      </w:r>
    </w:p>
    <w:p>
      <w:pPr>
        <w:spacing w:line="600" w:lineRule="exac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    1.行政单位：天津市农业农村委员会（本级），共计1个单位。</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 xml:space="preserve">    2.事业单位：天津市农业科学院、天津市农业发展服务中心、天津市农村社会事业发展服务中心、天津市水产研究所、天津市动物疫病预防控制中心、天津市农业生态环境监测与农产品质量监测中心、天津农机化技术试验服务中心及天津市农业农村委信息中心、天津市中芬乳品研究培训中心、天津市农业广播电视学校、天津市优质农产品开发示范中心，共计10个单位。</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 xml:space="preserve">    3.行政执法机构：天津市农业综合行政执法总队、天津市渔政渔港监督管理处，共计2个单位。</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rPr>
          <w:rFonts w:ascii="Times New Roman" w:hAnsi="Times New Roman" w:eastAsia="楷体" w:cs="楷体"/>
          <w:kern w:val="0"/>
          <w:sz w:val="30"/>
          <w:szCs w:val="30"/>
        </w:rPr>
      </w:pPr>
    </w:p>
    <w:p>
      <w:pPr>
        <w:keepNext/>
        <w:keepLines/>
        <w:autoSpaceDE w:val="0"/>
        <w:autoSpaceDN w:val="0"/>
        <w:adjustRightInd w:val="0"/>
        <w:spacing w:line="800" w:lineRule="exact"/>
        <w:ind w:firstLine="600"/>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天津市农业农村委员会2023年度国有资本经营预算财政拨款收入支出决算表为空表。</w:t>
      </w:r>
    </w:p>
    <w:p>
      <w:pPr>
        <w:widowControl/>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br w:type="page"/>
      </w:r>
    </w:p>
    <w:p>
      <w:pPr>
        <w:autoSpaceDE w:val="0"/>
        <w:autoSpaceDN w:val="0"/>
        <w:adjustRightInd w:val="0"/>
        <w:spacing w:line="600" w:lineRule="exact"/>
        <w:ind w:firstLine="600"/>
        <w:rPr>
          <w:rFonts w:ascii="Times New Roman" w:hAnsi="Times New Roman" w:eastAsia="仿宋_GB2312" w:cs="仿宋_GB2312"/>
          <w:kern w:val="0"/>
          <w:sz w:val="30"/>
          <w:szCs w:val="30"/>
        </w:rPr>
      </w:pPr>
    </w:p>
    <w:p>
      <w:pPr>
        <w:keepNext/>
        <w:keepLines/>
        <w:autoSpaceDE w:val="0"/>
        <w:autoSpaceDN w:val="0"/>
        <w:adjustRightInd w:val="0"/>
        <w:spacing w:line="600" w:lineRule="exact"/>
        <w:ind w:firstLine="600"/>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rPr>
          <w:rFonts w:ascii="Times New Roman" w:hAnsi="Times New Roman" w:eastAsia="黑体" w:cs="黑体"/>
          <w:sz w:val="30"/>
          <w:szCs w:val="30"/>
          <w:lang w:val="zh-CN"/>
        </w:rPr>
      </w:pP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农业农村委员会2023年度收入、支出决算总计1,321,409,890.67元，与2022年度相比，收、支总计各减少240,284,221.46元，下降15.39%，主要原因是：农村人居环境整治示范村创建项目及“百千工程”示范村项目转拨资金减少。</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天津市农业农村委员会</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1,298,327,685.42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年度相比减少280,231,916.59元，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：农村人居环境整治示范村创建项目及“百千工程”示范村项目转拨资金减少。</w:t>
      </w:r>
    </w:p>
    <w:p>
      <w:pPr>
        <w:autoSpaceDE w:val="0"/>
        <w:autoSpaceDN w:val="0"/>
        <w:adjustRightInd w:val="0"/>
        <w:spacing w:line="600" w:lineRule="exact"/>
        <w:ind w:firstLine="600"/>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1,091,471,311.05</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84.07</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61,828,023.44元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4.76%；</w:t>
      </w:r>
    </w:p>
    <w:p>
      <w:pPr>
        <w:autoSpaceDE w:val="0"/>
        <w:autoSpaceDN w:val="0"/>
        <w:adjustRightInd w:val="0"/>
        <w:spacing w:line="600" w:lineRule="exact"/>
        <w:ind w:firstLine="600"/>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35,016,711.24元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2.7%；</w:t>
      </w:r>
    </w:p>
    <w:p>
      <w:pPr>
        <w:autoSpaceDE w:val="0"/>
        <w:autoSpaceDN w:val="0"/>
        <w:adjustRightInd w:val="0"/>
        <w:spacing w:line="600" w:lineRule="exact"/>
        <w:ind w:firstLine="600"/>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47,681,390.14元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3.67%；</w:t>
      </w:r>
    </w:p>
    <w:p>
      <w:pPr>
        <w:autoSpaceDE w:val="0"/>
        <w:autoSpaceDN w:val="0"/>
        <w:adjustRightInd w:val="0"/>
        <w:spacing w:line="600" w:lineRule="exact"/>
        <w:ind w:firstLine="600"/>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2,514,500.00元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0.19%；</w:t>
      </w:r>
    </w:p>
    <w:p>
      <w:pPr>
        <w:autoSpaceDE w:val="0"/>
        <w:autoSpaceDN w:val="0"/>
        <w:adjustRightInd w:val="0"/>
        <w:spacing w:line="600" w:lineRule="exact"/>
        <w:ind w:firstLine="600"/>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59,815,749.55元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4.61%。</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天津市农业农村委员会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年度本年支出合计1,291,496,531.95元，与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年度相比减少311,012,716.06元，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农村人居环境整治示范村创建项目及“百千工程”示范村项目转拨资金减少。</w:t>
      </w:r>
    </w:p>
    <w:p>
      <w:pPr>
        <w:autoSpaceDE w:val="0"/>
        <w:autoSpaceDN w:val="0"/>
        <w:adjustRightInd w:val="0"/>
        <w:spacing w:line="58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524,138,086.35元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占40.58%；</w:t>
      </w:r>
    </w:p>
    <w:p>
      <w:pPr>
        <w:autoSpaceDE w:val="0"/>
        <w:autoSpaceDN w:val="0"/>
        <w:adjustRightInd w:val="0"/>
        <w:spacing w:line="580" w:lineRule="exact"/>
        <w:ind w:firstLine="600"/>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721,300,201.38元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占55.85%；</w:t>
      </w:r>
    </w:p>
    <w:p>
      <w:pPr>
        <w:autoSpaceDE w:val="0"/>
        <w:autoSpaceDN w:val="0"/>
        <w:adjustRightInd w:val="0"/>
        <w:spacing w:line="580" w:lineRule="exact"/>
        <w:ind w:firstLine="600"/>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46,058,244.22元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占3.57%。</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天津市农业农村委员会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1,153,299,334.49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年度相比，财政拨款收、支总计各减少310,031,312.99元，下降21.19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农村人居环境整治示范村创建项目及“百千工程”示范村项目转拨资金减少。</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天津市农业农村委员会2023年度部门决算一般公共预算财政拨款支出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计1,091,471,311.05元，占本年支出合计的84.51%，与2022年度相比，一般公共预算财政拨款支出减少365,263,330.66元，下降25.07%，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：农村人居环境整治示范村创建项目及“百千工程”示范村项目转拨资金减少。</w:t>
      </w:r>
    </w:p>
    <w:p>
      <w:pPr>
        <w:autoSpaceDE w:val="0"/>
        <w:autoSpaceDN w:val="0"/>
        <w:adjustRightInd w:val="0"/>
        <w:spacing w:line="600" w:lineRule="exact"/>
        <w:ind w:left="480"/>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1,091,471,311.05</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科学技术支出121,913,348.84元，占11.17%；社会保障和就业支出44,386,020.56元，占4.06%；卫生健康支出24,141,596.74元，占2.21%；农林水支出783,189,537.91元，占71.76%；债务付息支出117,840,807.00元，占10.80%。</w:t>
      </w:r>
    </w:p>
    <w:p>
      <w:pPr>
        <w:autoSpaceDE w:val="0"/>
        <w:autoSpaceDN w:val="0"/>
        <w:adjustRightInd w:val="0"/>
        <w:spacing w:line="600" w:lineRule="exact"/>
        <w:ind w:left="480"/>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896,983,807.00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1,091,471,311.05</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121.68%</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1.科学技术支出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基础研究</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自然科学基金</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年初预算为0.00元，支出决算为157,413.03元，决算数大于年初预算数的主要原因是使用2021年度天津市科技计划项目结转资金。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2.科学技术支出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基础研究</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其他基础研究支出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年初预算为0.00元，支出决算为223,121.3元，决算数大于年初预算数的主要原因是使用2022年度天津市科技计划项目结转资金。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3.科学技术支出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应用研究</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机构运行</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年初预算为115,190,000.00元，支出决算为117,649,330.00元，完成年初预算的104.02%，决算数大于年初预算数的主要原因是农科院人员变动。</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4.科学技术支出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技术研究与开发</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其他技术研究与开发支出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年初预算为0.00元，支出决算为175,527.00元，决算数大于年初预算数的主要原因是使用2021年度天津市科技型企业发展专项资金项目的结转资金。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5.科学技术支出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其他科学技术支出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其他科学技术支出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年初预算为0.00元，支出决算为3,707,957.51元，决算数大于年初预算数的主要原因是使用2021-2022年度中央引导地方科技发展项目以及天津市科技计划等项目结转资金支出。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6.社会保障和就业支出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行政事业单位养老支出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机关事业单位基本养老保险缴费支出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年初预算为29,760,000.00元，支出决算为29,590,347.04元，完成年初预算的99.42%，决算数小于年初预算数的主要原因是人员变动按照实际</w:t>
      </w:r>
      <w:r>
        <w:rPr>
          <w:rFonts w:ascii="Times New Roman" w:hAnsi="Times New Roman" w:eastAsia="仿宋_GB2312" w:cs="仿宋_GB2312"/>
          <w:sz w:val="30"/>
          <w:szCs w:val="30"/>
        </w:rPr>
        <w:t>执行</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7.社会保障和就业支出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行政事业单位养老支出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机关事业单位职业年金缴费支出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年初预算为14,881,000.00元，支出决算为14,795,673.52元，完成年初预算的99.42%，决算数小于年初预算数的主要原因是人员变动按照实际</w:t>
      </w:r>
      <w:r>
        <w:rPr>
          <w:rFonts w:ascii="Times New Roman" w:hAnsi="Times New Roman" w:eastAsia="仿宋_GB2312" w:cs="仿宋_GB2312"/>
          <w:sz w:val="30"/>
          <w:szCs w:val="30"/>
        </w:rPr>
        <w:t>执行</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8.卫生健康支出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行政事业单位医疗</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行政单位医疗</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年初预算为7,029,000.00元，支出决算为6,633,223.06元，完成年初预算的94.36%，决算数小于年初预算数的主要原因是人员变动按照实际</w:t>
      </w:r>
      <w:r>
        <w:rPr>
          <w:rFonts w:ascii="Times New Roman" w:hAnsi="Times New Roman" w:eastAsia="仿宋_GB2312" w:cs="仿宋_GB2312"/>
          <w:sz w:val="30"/>
          <w:szCs w:val="30"/>
        </w:rPr>
        <w:t>执行</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9.卫生健康支出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行政事业单位医疗</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事业单位医疗</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年初预算为12,495,000.00元，支出决算为12,699,705.30元，完成年初预算的101.63%，决算数大于年初预算数的主要原因是人员变动按照实际</w:t>
      </w:r>
      <w:r>
        <w:rPr>
          <w:rFonts w:ascii="Times New Roman" w:hAnsi="Times New Roman" w:eastAsia="仿宋_GB2312" w:cs="仿宋_GB2312"/>
          <w:sz w:val="30"/>
          <w:szCs w:val="30"/>
        </w:rPr>
        <w:t>执行</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10.卫生健康支出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行政事业单位医疗</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公务员医疗补助</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年初预算为1,335,000.00元，支出决算为1,313,668.38元，完成年初预算的98.40%，决算数小于年初预算数的主要原因是人员变动按照实际</w:t>
      </w:r>
      <w:r>
        <w:rPr>
          <w:rFonts w:ascii="Times New Roman" w:hAnsi="Times New Roman" w:eastAsia="仿宋_GB2312" w:cs="仿宋_GB2312"/>
          <w:sz w:val="30"/>
          <w:szCs w:val="30"/>
        </w:rPr>
        <w:t>执行</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11.卫生健康支出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行政事业单位医疗</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其他行政事业单位医疗支出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年初预算为4,028,000.00元，支出决算为3,495,000.00元，完成年初预算的86.76%，决算数小于年初预算数的主要原因是人员变动按照实际</w:t>
      </w:r>
      <w:r>
        <w:rPr>
          <w:rFonts w:ascii="Times New Roman" w:hAnsi="Times New Roman" w:eastAsia="仿宋_GB2312" w:cs="仿宋_GB2312"/>
          <w:sz w:val="30"/>
          <w:szCs w:val="30"/>
        </w:rPr>
        <w:t>执行</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12.农林水支出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农业农村</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行政运行</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年初预算为142,389,000.00元，支出决算为150,419,266.93元，完成年初预算的105.63%，决算数大于年初预算数的主要原因是年中追加经费。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13.农林水支出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农业农村</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事业运行</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年初预算为129,602,000.00元，支出决算为129,096,156.88元，完成年初预算的99.60%，决算数小于年初预算数的主要原因是人员变动按照实际</w:t>
      </w:r>
      <w:r>
        <w:rPr>
          <w:rFonts w:ascii="Times New Roman" w:hAnsi="Times New Roman" w:eastAsia="仿宋_GB2312" w:cs="仿宋_GB2312"/>
          <w:sz w:val="30"/>
          <w:szCs w:val="30"/>
        </w:rPr>
        <w:t>执行</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14.农林水支出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农业农村</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科技转化与推广服务</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年初预算为120,000.00元，支出决算为13,217,360.00元，完成年初预算的11000.14%，决算数大于年初预算数的主要原因是年中追加项目经费。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15.农林水支出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农业农村</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病虫害控制</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年初预算为11,720,000.00元，支出决算为22,253,799.80元，完成年初预算的189.87%，决算数大于年初预算数的主要原因是年中追加项目经费。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16.农林水支出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农业农村</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农产品质量安全</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年初预算为16,330,000.00元，支出决算为26,325,883.90元，完成年初预算的161.21%，决算数大于年初预算数的主要原因是年中追加项目经费。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17.农林水支出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农业农村</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执法监管</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 5,250,000.00元，支出决算为5,184,966.91元，完成年初预算的98.76%，决算数小于年初预算数的主要原因是项目已完成，结余资金收回。</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18.农林水支出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农业农村</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行业业务管理</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 xml:space="preserve">年初预算为18,517,000.00元，支出决算为 20,736,909.69元，完成年初预算的111.98%，决算数大于年初预算数的主要原因是年中追加项目经费。 </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19.农林水支出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农业农村</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农业生产发展</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年初预算为0.00元，支出决算为47,830,000.00元，决算数大于年初预算数的主要原因是年中追加项目经费。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20.农林水支出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农业农村</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农产品加工与促销</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年初预算为1,740,000.00元，支出决算为5,324,806.50元，完成年初预算的306.02%，决算数大于年初预算数的主要原因是年中追加项目经费。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21.农林水支出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农业农村</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农村社会事业</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年初预算为101,200,000.00元，支出决算为109,199,762.23元，完成年初预算的107.90%，决算数大于年初预算数的主要原因是年中追加一般债项目资金。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22. 农林水支出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农业农村</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农业资源保护修复与利用</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年初预算为0元，追加</w:t>
      </w:r>
      <w:r>
        <w:rPr>
          <w:rFonts w:ascii="Times New Roman" w:hAnsi="Times New Roman" w:eastAsia="仿宋_GB2312" w:cs="仿宋_GB2312"/>
          <w:sz w:val="30"/>
          <w:szCs w:val="30"/>
        </w:rPr>
        <w:t>预算</w:t>
      </w:r>
      <w:r>
        <w:rPr>
          <w:rFonts w:hint="eastAsia" w:ascii="Times New Roman" w:hAnsi="Times New Roman" w:eastAsia="仿宋_GB2312" w:cs="仿宋_GB2312"/>
          <w:sz w:val="30"/>
          <w:szCs w:val="30"/>
        </w:rPr>
        <w:t xml:space="preserve">15,107,866.87元，支出决算为15,107,866.87元，决算数等于追加预算数的主要原因是年中收到追加项目经费。 </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23.农林水支出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农业农村</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渔业发展</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年初预算为20,820,000.00元，支出决算为24,522,249.60元，完成年初预算的117.78%，决算数大于年初预算数的主要原因是使用部分中央财政项目结转资金。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24.农林水支出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农业农村</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农田建设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年初预算为124,880,000.00元，支出决算为124,880,000.00元，完成年初预算的100%，决算数等于预算数的</w:t>
      </w:r>
      <w:r>
        <w:rPr>
          <w:rFonts w:ascii="Times New Roman" w:hAnsi="Times New Roman" w:eastAsia="仿宋_GB2312" w:cs="仿宋_GB2312"/>
          <w:sz w:val="30"/>
          <w:szCs w:val="30"/>
        </w:rPr>
        <w:t>主要</w:t>
      </w:r>
      <w:r>
        <w:rPr>
          <w:rFonts w:hint="eastAsia" w:ascii="Times New Roman" w:hAnsi="Times New Roman" w:eastAsia="仿宋_GB2312" w:cs="仿宋_GB2312"/>
          <w:sz w:val="30"/>
          <w:szCs w:val="30"/>
        </w:rPr>
        <w:t>原因</w:t>
      </w:r>
      <w:r>
        <w:rPr>
          <w:rFonts w:ascii="Times New Roman" w:hAnsi="Times New Roman" w:eastAsia="仿宋_GB2312" w:cs="仿宋_GB2312"/>
          <w:sz w:val="30"/>
          <w:szCs w:val="30"/>
        </w:rPr>
        <w:t>是严格按照预算使用资金</w:t>
      </w:r>
      <w:r>
        <w:rPr>
          <w:rFonts w:hint="eastAsia"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25.农林水支出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农业农村</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其他农业农村支出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年初预算为2,040,000.00元，支出决算为7,412,208.60元，完成年初预算的363.34%，决算数大于年初预算数的主要原因是年中追加项目经费。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26.农林水支出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水利</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农村水利</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年初预算为0.00元，支出决算为21,000.00元，决算数大于年初预算数的主要原因是使用上年度中央财政结转资金支出。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27.农林水支出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普惠金融发展支出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款</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农业保险保费补贴</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年初预算为4,484,000.00元，支出决算为22,404,000.00元，完成年初预算的499.64%，决算数大于年初预算数的主要原因是年中追加项目经费。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28.农林水支出(类)普惠金融发展支出(款)创业担保贷款贴息及奖补(项)年初预算为0.00元，追加预算为37,190,000.00元，支出决算为37,190,000.00元，决算数等于追加预算数的主要原因是年中收到的中央财政项目经费。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29.农林水支出(类)普惠金融发展支出(款)其他普惠金融发展支出(项)年初预算为15,333,000.00元，支出决算为22,063,300.00元，完成年初预算的143.89%，决算数大于年初预算数的主要原因是年中追加项目经费。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30.债务付息支出(类)地方政府一般债务付息支出(款)地方政府一般债券付息支出(项)年初预算为117,840,807.00元，支出决算为117,840,807.00元，完成年初预算的100%，决算数等于预算数的</w:t>
      </w:r>
      <w:r>
        <w:rPr>
          <w:rFonts w:ascii="Times New Roman" w:hAnsi="Times New Roman" w:eastAsia="仿宋_GB2312" w:cs="仿宋_GB2312"/>
          <w:sz w:val="30"/>
          <w:szCs w:val="30"/>
        </w:rPr>
        <w:t>主要</w:t>
      </w:r>
      <w:r>
        <w:rPr>
          <w:rFonts w:hint="eastAsia" w:ascii="Times New Roman" w:hAnsi="Times New Roman" w:eastAsia="仿宋_GB2312" w:cs="仿宋_GB2312"/>
          <w:sz w:val="30"/>
          <w:szCs w:val="30"/>
        </w:rPr>
        <w:t>原因</w:t>
      </w:r>
      <w:r>
        <w:rPr>
          <w:rFonts w:ascii="Times New Roman" w:hAnsi="Times New Roman" w:eastAsia="仿宋_GB2312" w:cs="仿宋_GB2312"/>
          <w:sz w:val="30"/>
          <w:szCs w:val="30"/>
        </w:rPr>
        <w:t>是严格按照预算使用资金</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六、一般公共预算财政拨款基本支出决算情况说明</w:t>
      </w:r>
    </w:p>
    <w:p>
      <w:pPr>
        <w:autoSpaceDE w:val="0"/>
        <w:autoSpaceDN w:val="0"/>
        <w:adjustRightInd w:val="0"/>
        <w:spacing w:line="600" w:lineRule="exact"/>
        <w:ind w:firstLine="72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天津市农业农村委员会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465,960,139.11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年度相比增加13,195,452.35元，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人员变动按照实际</w:t>
      </w:r>
      <w:r>
        <w:rPr>
          <w:rFonts w:ascii="Times New Roman" w:hAnsi="Times New Roman" w:eastAsia="仿宋_GB2312" w:cs="仿宋_GB2312"/>
          <w:sz w:val="30"/>
          <w:szCs w:val="30"/>
        </w:rPr>
        <w:t>执行</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423,747,935.56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42,212,203.55</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办公费、印刷费、咨询费、手续费、水费、电费、邮电费、取暖费、物业管理费、差旅费、因公出国（境）费用、维修</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护</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费、租赁费、会议费、培训费、公务接待费、专用材料费、劳务费、委托业务费、工会经费、福利费、公务用车运行维护费、其他交通费用、税金及附加费用、其他商品和服务支出、办公设备购置、专用设备购置。</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天津市农业农村委员会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61,828,023.44</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61,828,023.44</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年度相比，政府性基金财政拨款支出增加55,262,207.44元，增长841.67%，</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增加了农业生产发展、农业农村生态环境支出等项目资金。</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天津市农业农村委员会2023年度无国有资本经营预算财政拨款收入、支出和结转结余。</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1,721,000.00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1,617,038.22</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103,961.78</w:t>
      </w:r>
      <w:r>
        <w:rPr>
          <w:rFonts w:hint="eastAsia" w:ascii="Times New Roman" w:hAnsi="Times New Roman" w:eastAsia="仿宋_GB2312" w:cs="仿宋_GB2312"/>
          <w:kern w:val="0"/>
          <w:sz w:val="30"/>
          <w:szCs w:val="30"/>
        </w:rPr>
        <w:t>元，完成预算的93.96</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5,269.05元，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0.32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认真贯彻落实市委、市政府“过紧日子”精神，压减不必要三公支出。</w:t>
      </w:r>
    </w:p>
    <w:p>
      <w:pPr>
        <w:autoSpaceDE w:val="0"/>
        <w:autoSpaceDN w:val="0"/>
        <w:adjustRightInd w:val="0"/>
        <w:spacing w:line="600" w:lineRule="exact"/>
        <w:ind w:firstLine="602"/>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92,000.00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72,640.35</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19,359.65</w:t>
      </w:r>
      <w:r>
        <w:rPr>
          <w:rFonts w:hint="eastAsia" w:ascii="Times New Roman" w:hAnsi="Times New Roman" w:eastAsia="仿宋_GB2312" w:cs="仿宋_GB2312"/>
          <w:kern w:val="0"/>
          <w:sz w:val="30"/>
          <w:szCs w:val="30"/>
        </w:rPr>
        <w:t>元，完成预算的78.96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72,640.35元，</w:t>
      </w:r>
      <w:r>
        <w:rPr>
          <w:rFonts w:hint="eastAsia" w:ascii="Times New Roman" w:hAnsi="Times New Roman" w:eastAsia="仿宋_GB2312" w:cs="仿宋_GB2312"/>
          <w:sz w:val="30"/>
          <w:szCs w:val="30"/>
        </w:rPr>
        <w:t>增长10</w:t>
      </w:r>
      <w:r>
        <w:rPr>
          <w:rFonts w:hint="eastAsia" w:ascii="Times New Roman" w:hAnsi="Times New Roman" w:eastAsia="仿宋_GB2312" w:cs="仿宋_GB2312"/>
          <w:kern w:val="0"/>
          <w:sz w:val="30"/>
          <w:szCs w:val="30"/>
        </w:rPr>
        <w:t>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进一步压减无实质内容的出访</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2022年无出国任务。</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个，出国</w:t>
      </w:r>
      <w:r>
        <w:rPr>
          <w:rFonts w:ascii="Times New Roman" w:hAnsi="Times New Roman" w:eastAsia="仿宋_GB2312" w:cs="Times New Roman"/>
          <w:kern w:val="0"/>
          <w:sz w:val="30"/>
          <w:szCs w:val="30"/>
        </w:rPr>
        <w:t>7</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1,579,000.00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1,519,999.87</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59,000.13</w:t>
      </w:r>
      <w:r>
        <w:rPr>
          <w:rFonts w:hint="eastAsia" w:ascii="Times New Roman" w:hAnsi="Times New Roman" w:eastAsia="仿宋_GB2312" w:cs="仿宋_GB2312"/>
          <w:kern w:val="0"/>
          <w:sz w:val="30"/>
          <w:szCs w:val="30"/>
        </w:rPr>
        <w:t>元，完成预算的96.26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95,920.40元，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5.94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落实市委、市政府“过紧日子”精神，压减公车购置及运维的不必要支出。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1,579,000.00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1,519,999.87</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59,000.13</w:t>
      </w:r>
      <w:r>
        <w:rPr>
          <w:rFonts w:hint="eastAsia" w:ascii="Times New Roman" w:hAnsi="Times New Roman" w:eastAsia="仿宋_GB2312" w:cs="仿宋_GB2312"/>
          <w:kern w:val="0"/>
          <w:sz w:val="30"/>
          <w:szCs w:val="30"/>
        </w:rPr>
        <w:t>元，完成预算的96.26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95,920.40元，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5.94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落实市委、市政府“过紧日子”精神，压减公车运维的不必要支出。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153</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的主要原因是：本年度未用财政拨款经费列支公务用车购置费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50,000.00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24,398.00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25,602.00</w:t>
      </w:r>
      <w:r>
        <w:rPr>
          <w:rFonts w:hint="eastAsia" w:ascii="Times New Roman" w:hAnsi="Times New Roman" w:eastAsia="仿宋_GB2312" w:cs="仿宋_GB2312"/>
          <w:kern w:val="0"/>
          <w:sz w:val="30"/>
          <w:szCs w:val="30"/>
        </w:rPr>
        <w:t>元，完成预算的48.8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18,011.00元，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281.99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主要原因是落实市委、市政府“过紧日子”精神，进一步压减公务接待活动的不必要支出。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接待各省市来津调研任务增加。</w:t>
      </w:r>
    </w:p>
    <w:p>
      <w:pPr>
        <w:autoSpaceDE w:val="0"/>
        <w:autoSpaceDN w:val="0"/>
        <w:adjustRightInd w:val="0"/>
        <w:spacing w:line="600" w:lineRule="exact"/>
        <w:ind w:firstLine="645"/>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21</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209</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天津市农业农村委员会</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18,227,716.67</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年减少1,328,020.45元，降低6.79</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人员变动按</w:t>
      </w:r>
      <w:r>
        <w:rPr>
          <w:rFonts w:ascii="Times New Roman" w:hAnsi="Times New Roman" w:eastAsia="仿宋_GB2312" w:cs="仿宋_GB2312"/>
          <w:sz w:val="30"/>
          <w:szCs w:val="30"/>
        </w:rPr>
        <w:t>实际执行。</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天津市农业农村委员会</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125,766,923.33</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59,098,295.75</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8,325,487.00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58,343,140.58</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90,957,321.70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lang w:val="en-US" w:eastAsia="zh-CN"/>
        </w:rPr>
        <w:t>72.32</w:t>
      </w:r>
      <w:bookmarkStart w:id="0" w:name="_GoBack"/>
      <w:bookmarkEnd w:id="0"/>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63,743,413.70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50.68%</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83.67</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93.69</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57.78</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十二、国有资产占有使用情况说明</w:t>
      </w:r>
    </w:p>
    <w:p>
      <w:pPr>
        <w:autoSpaceDE w:val="0"/>
        <w:autoSpaceDN w:val="0"/>
        <w:adjustRightInd w:val="0"/>
        <w:spacing w:line="600" w:lineRule="exact"/>
        <w:ind w:firstLine="720"/>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日，天津市农业农村委员会共有车辆</w:t>
      </w:r>
      <w:r>
        <w:rPr>
          <w:rFonts w:hint="eastAsia" w:ascii="Times New Roman" w:hAnsi="Times New Roman" w:eastAsia="仿宋_GB2312" w:cs="Times New Roman"/>
          <w:kern w:val="0"/>
          <w:sz w:val="30"/>
          <w:szCs w:val="30"/>
        </w:rPr>
        <w:t>123</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2</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120</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其他公务用车</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79</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十三、预算绩效情况说明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 xml:space="preserve"> 根据预算绩效管理要求，天津市农业农村委员会2023年度已对111个市级项目开展绩效自评，涉及金额 360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332,168.3</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元，自评结果已随部门决算一并公开。本部门2023年度</w:t>
      </w:r>
      <w:r>
        <w:rPr>
          <w:rFonts w:ascii="Times New Roman" w:hAnsi="Times New Roman" w:eastAsia="仿宋_GB2312" w:cs="仿宋_GB2312"/>
          <w:sz w:val="30"/>
          <w:szCs w:val="30"/>
        </w:rPr>
        <w:t>未开展部门评价。</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十四、教育、医疗卫生、社会保障和就业、住房保障、涉农补贴等民生支出情况说明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天津市农业农村委员会不属于乡、镇、街级单位，不涉及公开2023年度教育、医疗卫生、社会保障和就业、住房保障、涉农补贴等民生支出情况。</w:t>
      </w:r>
    </w:p>
    <w:p>
      <w:pPr>
        <w:autoSpaceDE w:val="0"/>
        <w:autoSpaceDN w:val="0"/>
        <w:adjustRightInd w:val="0"/>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rPr>
          <w:rFonts w:ascii="Times New Roman" w:hAnsi="Times New Roman" w:eastAsia="仿宋_GB2312" w:cs="仿宋_GB2312"/>
          <w:kern w:val="0"/>
          <w:sz w:val="30"/>
          <w:szCs w:val="30"/>
        </w:rPr>
      </w:pP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C6260"/>
    <w:rsid w:val="000D4B98"/>
    <w:rsid w:val="00127EFA"/>
    <w:rsid w:val="00142888"/>
    <w:rsid w:val="00152EEB"/>
    <w:rsid w:val="00153077"/>
    <w:rsid w:val="00167CB7"/>
    <w:rsid w:val="001A0E4F"/>
    <w:rsid w:val="001B5C3C"/>
    <w:rsid w:val="001C0399"/>
    <w:rsid w:val="001D587E"/>
    <w:rsid w:val="002124F6"/>
    <w:rsid w:val="00226234"/>
    <w:rsid w:val="00264B59"/>
    <w:rsid w:val="002A4997"/>
    <w:rsid w:val="002B2830"/>
    <w:rsid w:val="002E6086"/>
    <w:rsid w:val="00302490"/>
    <w:rsid w:val="003227B2"/>
    <w:rsid w:val="003536BE"/>
    <w:rsid w:val="003B25FB"/>
    <w:rsid w:val="00406E63"/>
    <w:rsid w:val="004A482F"/>
    <w:rsid w:val="004F39BF"/>
    <w:rsid w:val="005062D7"/>
    <w:rsid w:val="005175E6"/>
    <w:rsid w:val="00525157"/>
    <w:rsid w:val="005349A2"/>
    <w:rsid w:val="00556E78"/>
    <w:rsid w:val="00575537"/>
    <w:rsid w:val="005D1367"/>
    <w:rsid w:val="005D3F56"/>
    <w:rsid w:val="00654D17"/>
    <w:rsid w:val="006567D4"/>
    <w:rsid w:val="006623EC"/>
    <w:rsid w:val="006A094D"/>
    <w:rsid w:val="006D2409"/>
    <w:rsid w:val="006E65DB"/>
    <w:rsid w:val="00776FF3"/>
    <w:rsid w:val="0078156E"/>
    <w:rsid w:val="00786E74"/>
    <w:rsid w:val="007D1285"/>
    <w:rsid w:val="007E49E1"/>
    <w:rsid w:val="007F6DA7"/>
    <w:rsid w:val="008174D5"/>
    <w:rsid w:val="00885126"/>
    <w:rsid w:val="0089698B"/>
    <w:rsid w:val="008D48A9"/>
    <w:rsid w:val="008F78F1"/>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D671A"/>
    <w:rsid w:val="00BF3E85"/>
    <w:rsid w:val="00BF697A"/>
    <w:rsid w:val="00C52E77"/>
    <w:rsid w:val="00C65A44"/>
    <w:rsid w:val="00C76AC3"/>
    <w:rsid w:val="00C83EB4"/>
    <w:rsid w:val="00D4505A"/>
    <w:rsid w:val="00D65B41"/>
    <w:rsid w:val="00DC3234"/>
    <w:rsid w:val="00DC3CD0"/>
    <w:rsid w:val="00DD60B5"/>
    <w:rsid w:val="00E31BEB"/>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22C72"/>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5FFB1F9B"/>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 w:val="7FEB6CA0"/>
    <w:rsid w:val="F7731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1552</Words>
  <Characters>8852</Characters>
  <Lines>73</Lines>
  <Paragraphs>20</Paragraphs>
  <TotalTime>28</TotalTime>
  <ScaleCrop>false</ScaleCrop>
  <LinksUpToDate>false</LinksUpToDate>
  <CharactersWithSpaces>10384</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2024-08-01T02:24:00Z</dcterms:created>
  <dc:creator>office</dc:creator>
  <cp:lastModifiedBy>BreeZee</cp:lastModifiedBy>
  <dcterms:modified xsi:type="dcterms:W3CDTF">2024-09-14T14:31:15Z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A44E0A178634409BBBA50D5636087390_13</vt:lpwstr>
  </property>
</Properties>
</file>