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ascii="仿宋_GB2312"/>
          <w:szCs w:val="32"/>
        </w:rPr>
      </w:pPr>
    </w:p>
    <w:p>
      <w:pPr>
        <w:spacing w:line="500" w:lineRule="exact"/>
        <w:rPr>
          <w:rFonts w:ascii="仿宋_GB2312"/>
          <w:szCs w:val="32"/>
        </w:rPr>
      </w:pPr>
    </w:p>
    <w:p>
      <w:pPr>
        <w:rPr>
          <w:rFonts w:ascii="仿宋_GB2312"/>
          <w:szCs w:val="32"/>
        </w:rPr>
      </w:pPr>
    </w:p>
    <w:p>
      <w:pPr>
        <w:jc w:val="center"/>
        <w:rPr>
          <w:rFonts w:ascii="仿宋_GB2312"/>
          <w:szCs w:val="32"/>
        </w:rPr>
      </w:pPr>
      <w:r>
        <w:rPr>
          <w:rFonts w:hint="eastAsia" w:ascii="仿宋_GB2312"/>
          <w:szCs w:val="32"/>
        </w:rPr>
        <w:t xml:space="preserve">                                津农委函〔2015〕21号</w:t>
      </w:r>
    </w:p>
    <w:p>
      <w:pPr>
        <w:spacing w:line="600" w:lineRule="exact"/>
        <w:jc w:val="center"/>
        <w:rPr>
          <w:rFonts w:ascii="仿宋_GB2312"/>
          <w:szCs w:val="32"/>
        </w:rPr>
      </w:pPr>
    </w:p>
    <w:p>
      <w:pPr>
        <w:spacing w:line="70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市农委关于印发2015年天津市农产品</w:t>
      </w:r>
    </w:p>
    <w:p>
      <w:pPr>
        <w:spacing w:line="700" w:lineRule="exact"/>
        <w:jc w:val="center"/>
        <w:rPr>
          <w:rFonts w:ascii="宋体" w:hAnsi="宋体" w:eastAsia="宋体"/>
          <w:sz w:val="44"/>
          <w:szCs w:val="44"/>
        </w:rPr>
      </w:pPr>
      <w:r>
        <w:rPr>
          <w:rFonts w:hint="eastAsia" w:ascii="方正小标宋简体" w:hAnsi="宋体" w:eastAsia="方正小标宋简体"/>
          <w:sz w:val="44"/>
          <w:szCs w:val="44"/>
        </w:rPr>
        <w:t>质量安全专项整治方案的函</w:t>
      </w:r>
      <w:bookmarkStart w:id="0" w:name="_GoBack"/>
      <w:bookmarkEnd w:id="0"/>
    </w:p>
    <w:p>
      <w:pPr>
        <w:spacing w:line="600" w:lineRule="exact"/>
      </w:pPr>
    </w:p>
    <w:p>
      <w:pPr>
        <w:spacing w:line="580" w:lineRule="exact"/>
        <w:rPr>
          <w:rFonts w:ascii="仿宋_GB2312" w:hAnsi="Times New Roman"/>
        </w:rPr>
      </w:pPr>
      <w:r>
        <w:rPr>
          <w:rFonts w:hint="eastAsia" w:ascii="仿宋_GB2312" w:hAnsi="Times New Roman"/>
        </w:rPr>
        <w:t>有农业的区县人民政府，农业系统有关单位：</w:t>
      </w:r>
    </w:p>
    <w:p>
      <w:pPr>
        <w:spacing w:line="580" w:lineRule="exact"/>
        <w:ind w:firstLine="640" w:firstLineChars="200"/>
        <w:rPr>
          <w:rFonts w:ascii="仿宋_GB2312" w:hAnsi="Times New Roman"/>
        </w:rPr>
      </w:pPr>
      <w:r>
        <w:rPr>
          <w:rFonts w:hint="eastAsia" w:ascii="仿宋_GB2312" w:hAnsi="Times New Roman"/>
          <w:szCs w:val="32"/>
        </w:rPr>
        <w:t>按照农业部印发的《2015年农产品质量安全专项整治方案》（农质发〔2015〕3号）和我市《2015年天津市农产品质量安全监管计划》（津农委函〔2015〕12号）的有关要求，</w:t>
      </w:r>
      <w:r>
        <w:rPr>
          <w:rFonts w:hint="eastAsia" w:ascii="仿宋_GB2312" w:hAnsi="Times New Roman"/>
        </w:rPr>
        <w:t>在巩固已有整治成果的基础上，2015年我市将继续开展农产品质量安全专项整治，</w:t>
      </w:r>
      <w:r>
        <w:rPr>
          <w:rFonts w:hint="eastAsia" w:ascii="仿宋_GB2312" w:hAnsi="Times New Roman"/>
          <w:szCs w:val="32"/>
        </w:rPr>
        <w:t>现将我委制订的《2015年天津市农产品质量安全专项整治方案》</w:t>
      </w:r>
      <w:r>
        <w:rPr>
          <w:rFonts w:hint="eastAsia" w:ascii="仿宋_GB2312" w:hAnsi="Times New Roman"/>
        </w:rPr>
        <w:t>印发给你们，请结合本地区、本部门的实际情况认真贯彻执行。</w:t>
      </w:r>
    </w:p>
    <w:p>
      <w:pPr>
        <w:spacing w:line="580" w:lineRule="exact"/>
        <w:ind w:firstLine="640" w:firstLineChars="200"/>
        <w:rPr>
          <w:rFonts w:ascii="仿宋_GB2312" w:hAnsi="Times New Roman"/>
        </w:rPr>
      </w:pPr>
    </w:p>
    <w:p>
      <w:pPr>
        <w:spacing w:line="580" w:lineRule="exact"/>
        <w:ind w:firstLine="640" w:firstLineChars="200"/>
        <w:rPr>
          <w:rFonts w:ascii="仿宋_GB2312" w:hAnsi="Times New Roman"/>
        </w:rPr>
      </w:pPr>
      <w:r>
        <w:rPr>
          <w:rFonts w:hint="eastAsia" w:ascii="仿宋_GB2312" w:hAnsi="Times New Roman"/>
        </w:rPr>
        <w:t>附件：2015年天津市农产品质量安全专项整治方案</w:t>
      </w:r>
    </w:p>
    <w:p>
      <w:pPr>
        <w:tabs>
          <w:tab w:val="left" w:pos="7776"/>
        </w:tabs>
        <w:spacing w:line="580" w:lineRule="exact"/>
        <w:jc w:val="left"/>
        <w:rPr>
          <w:rFonts w:ascii="仿宋_GB2312" w:hAnsi="Times New Roman"/>
        </w:rPr>
      </w:pPr>
    </w:p>
    <w:p>
      <w:pPr>
        <w:tabs>
          <w:tab w:val="left" w:pos="7776"/>
        </w:tabs>
        <w:spacing w:line="580" w:lineRule="exact"/>
        <w:jc w:val="left"/>
        <w:rPr>
          <w:rFonts w:ascii="仿宋_GB2312" w:hAnsi="Times New Roman"/>
        </w:rPr>
      </w:pPr>
    </w:p>
    <w:p>
      <w:pPr>
        <w:tabs>
          <w:tab w:val="left" w:pos="7776"/>
        </w:tabs>
        <w:spacing w:line="580" w:lineRule="exact"/>
        <w:jc w:val="left"/>
        <w:rPr>
          <w:rFonts w:ascii="仿宋_GB2312" w:hAnsi="Times New Roman"/>
        </w:rPr>
      </w:pPr>
      <w:r>
        <w:rPr>
          <w:rFonts w:hint="eastAsia" w:ascii="仿宋_GB2312" w:hAnsi="Times New Roman"/>
        </w:rPr>
        <w:t xml:space="preserve">　　                        </w:t>
      </w:r>
    </w:p>
    <w:p>
      <w:pPr>
        <w:tabs>
          <w:tab w:val="left" w:pos="7776"/>
        </w:tabs>
        <w:spacing w:line="580" w:lineRule="exact"/>
        <w:jc w:val="left"/>
        <w:rPr>
          <w:rFonts w:ascii="仿宋_GB2312" w:hAnsi="Times New Roman"/>
        </w:rPr>
      </w:pPr>
      <w:r>
        <w:rPr>
          <w:rFonts w:ascii="仿宋_GB2312"/>
          <w:szCs w:val="32"/>
        </w:rPr>
        <mc:AlternateContent>
          <mc:Choice Requires="wps">
            <w:drawing>
              <wp:anchor distT="0" distB="0" distL="114300" distR="114300" simplePos="0" relativeHeight="251659264" behindDoc="0" locked="0" layoutInCell="1" allowOverlap="1">
                <wp:simplePos x="0" y="0"/>
                <wp:positionH relativeFrom="column">
                  <wp:posOffset>4833620</wp:posOffset>
                </wp:positionH>
                <wp:positionV relativeFrom="paragraph">
                  <wp:posOffset>495935</wp:posOffset>
                </wp:positionV>
                <wp:extent cx="1431290" cy="993775"/>
                <wp:effectExtent l="0" t="0" r="0" b="0"/>
                <wp:wrapNone/>
                <wp:docPr id="30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431070" cy="993747"/>
                        </a:xfrm>
                        <a:prstGeom prst="rect">
                          <a:avLst/>
                        </a:prstGeom>
                        <a:solidFill>
                          <a:srgbClr val="FFFFFF"/>
                        </a:solidFill>
                        <a:ln w="9525">
                          <a:noFill/>
                          <a:miter lim="800000"/>
                        </a:ln>
                      </wps:spPr>
                      <wps:txbx>
                        <w:txbxContent>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380.6pt;margin-top:39.05pt;height:78.25pt;width:112.7pt;z-index:251659264;mso-width-relative:page;mso-height-relative:page;" fillcolor="#FFFFFF" filled="t" stroked="f" coordsize="21600,21600" o:gfxdata="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nBld42AAAAAoBAAAPAAAAAAAAAAEAIAAAACIAAABkcnMvZG93&#10;bnJldi54bWxQSwECFAAUAAAACACHTuJAXlsmxjkCAABUBAAADgAAAAAAAAABACAAAAAnAQAAZHJz&#10;L2Uyb0RvYy54bWxQSwUGAAAAAAYABgBZAQAA0gUAAAAA&#10;">
                <v:fill on="t" focussize="0,0"/>
                <v:stroke on="f" miterlimit="8" joinstyle="miter"/>
                <v:imagedata o:title=""/>
                <o:lock v:ext="edit" aspectratio="f"/>
                <v:textbox>
                  <w:txbxContent>
                    <w:p/>
                  </w:txbxContent>
                </v:textbox>
              </v:shape>
            </w:pict>
          </mc:Fallback>
        </mc:AlternateContent>
      </w:r>
      <w:r>
        <w:rPr>
          <w:rFonts w:ascii="仿宋_GB2312" w:hAnsi="Times New Roman"/>
        </w:rPr>
        <w:t xml:space="preserve"> </w:t>
      </w:r>
      <w:r>
        <w:rPr>
          <w:rFonts w:hint="eastAsia" w:ascii="仿宋_GB2312" w:hAnsi="Times New Roman"/>
        </w:rPr>
        <w:t xml:space="preserve">                         　  2015年3月26日</w:t>
      </w:r>
    </w:p>
    <w:p>
      <w:pPr>
        <w:tabs>
          <w:tab w:val="left" w:pos="7776"/>
        </w:tabs>
        <w:spacing w:line="600" w:lineRule="exact"/>
        <w:ind w:firstLine="640" w:firstLineChars="200"/>
        <w:rPr>
          <w:rFonts w:ascii="仿宋_GB2312" w:hAnsi="Times New Roman"/>
        </w:rPr>
      </w:pPr>
      <w:r>
        <w:rPr>
          <w:rFonts w:hint="eastAsia" w:ascii="仿宋_GB2312" w:hAnsi="Times New Roman"/>
        </w:rPr>
        <w:t>（此件主动公开）</w:t>
      </w:r>
      <w:r>
        <w:rPr>
          <w:rFonts w:ascii="仿宋_GB2312" w:hAnsi="Times New Roman"/>
        </w:rPr>
        <w:br w:type="page"/>
      </w:r>
      <w:r>
        <w:rPr>
          <w:rFonts w:hint="eastAsia" w:ascii="黑体" w:hAnsi="黑体" w:eastAsia="黑体"/>
        </w:rPr>
        <w:t>附件</w:t>
      </w:r>
    </w:p>
    <w:p>
      <w:pPr>
        <w:tabs>
          <w:tab w:val="left" w:pos="7776"/>
        </w:tabs>
        <w:spacing w:before="312" w:beforeLines="100" w:after="312" w:afterLines="100" w:line="620" w:lineRule="exact"/>
        <w:jc w:val="center"/>
        <w:rPr>
          <w:rFonts w:ascii="仿宋_GB2312" w:hAnsi="Times New Roman"/>
        </w:rPr>
      </w:pPr>
      <w:r>
        <w:rPr>
          <w:rFonts w:hint="eastAsia" w:ascii="方正小标宋简体" w:hAnsi="Times New Roman" w:eastAsia="方正小标宋简体"/>
          <w:sz w:val="44"/>
          <w:szCs w:val="44"/>
        </w:rPr>
        <w:t>2015年天津市农产品质量安全专项整治方案</w:t>
      </w:r>
    </w:p>
    <w:p>
      <w:pPr>
        <w:ind w:firstLine="645"/>
        <w:rPr>
          <w:rFonts w:ascii="仿宋_GB2312"/>
          <w:szCs w:val="32"/>
        </w:rPr>
      </w:pPr>
      <w:r>
        <w:rPr>
          <w:rFonts w:hint="eastAsia" w:ascii="仿宋_GB2312" w:hAnsi="Times New Roman"/>
        </w:rPr>
        <w:t>按照农业部印发的《2015年农产品质量安全专项整治方案》（农质发〔2015〕3号）和我市《2015年天津市农产品质量安全监管计划》</w:t>
      </w:r>
      <w:r>
        <w:rPr>
          <w:rFonts w:hint="eastAsia" w:ascii="仿宋_GB2312" w:hAnsi="Times New Roman"/>
          <w:szCs w:val="32"/>
        </w:rPr>
        <w:t>（津农委函〔2015〕12号）</w:t>
      </w:r>
      <w:r>
        <w:rPr>
          <w:rFonts w:hint="eastAsia" w:ascii="仿宋_GB2312" w:hAnsi="Times New Roman"/>
        </w:rPr>
        <w:t>的有关要求，在巩固已有整治成果的基础上，2015年我市将继续开展农产品质量安全专项整治，</w:t>
      </w:r>
      <w:r>
        <w:rPr>
          <w:rFonts w:hint="eastAsia" w:ascii="仿宋_GB2312"/>
          <w:szCs w:val="32"/>
        </w:rPr>
        <w:t>强化执法监管，严厉打击各类违法违规行为，为捍卫广大人民群众“舌尖上的安全”提供有力保障，现制定实施方案如下：</w:t>
      </w:r>
    </w:p>
    <w:p>
      <w:pPr>
        <w:ind w:firstLine="645"/>
        <w:rPr>
          <w:rFonts w:ascii="黑体" w:hAnsi="黑体" w:eastAsia="黑体"/>
          <w:szCs w:val="32"/>
        </w:rPr>
      </w:pPr>
      <w:r>
        <w:rPr>
          <w:rFonts w:hint="eastAsia" w:ascii="黑体" w:hAnsi="黑体" w:eastAsia="黑体"/>
          <w:szCs w:val="32"/>
        </w:rPr>
        <w:t>一、总体目标</w:t>
      </w:r>
    </w:p>
    <w:p>
      <w:pPr>
        <w:rPr>
          <w:rFonts w:ascii="仿宋_GB2312"/>
          <w:szCs w:val="32"/>
        </w:rPr>
      </w:pPr>
      <w:r>
        <w:rPr>
          <w:rFonts w:hint="eastAsia" w:ascii="仿宋_GB2312"/>
          <w:szCs w:val="32"/>
        </w:rPr>
        <w:t xml:space="preserve">    围绕农产品质量安全执法年活动，严格按照</w:t>
      </w:r>
      <w:r>
        <w:rPr>
          <w:rFonts w:hint="eastAsia" w:ascii="仿宋_GB2312"/>
          <w:szCs w:val="32"/>
          <w:lang w:eastAsia="zh-CN"/>
        </w:rPr>
        <w:t>《中华人民共和国农产品质量安全法》</w:t>
      </w:r>
      <w:r>
        <w:rPr>
          <w:rFonts w:hint="eastAsia" w:ascii="仿宋_GB2312"/>
          <w:szCs w:val="32"/>
          <w:lang w:eastAsia="zh-CN"/>
        </w:rPr>
        <w:tab/>
        <w:t/>
      </w:r>
      <w:r>
        <w:rPr>
          <w:rFonts w:hint="eastAsia" w:ascii="仿宋_GB2312"/>
          <w:szCs w:val="32"/>
          <w:lang w:eastAsia="zh-CN"/>
        </w:rPr>
        <w:tab/>
      </w:r>
      <w:r>
        <w:rPr>
          <w:rFonts w:hint="eastAsia" w:ascii="仿宋_GB2312"/>
          <w:szCs w:val="32"/>
        </w:rPr>
        <w:t>等有关法律法规和司法解释，以农产品质量安全执法为主题，针对重点时段、重点区域、重点产品和薄弱环节，坚持问题导向，加大巡查检查和监督抽查力度，加强农产品质量安全执法，强化行政执法与刑事司法的衔接，严厉打击农产品质量安全领域的违法违规行为。集中力量查办一批大案要案，端掉一批黑窝点，严惩一批违法犯罪分子，公布一批典型案例。举报受理率达到100%，违法线索及案件查处率保持100%，案件信息公开率达到100%，执法力度明显加大，部门配合更加紧密，社会共治更加有力，农产品质量安全存在的突出问题和隐患得到有效遏制，农产品质量安全水平稳中有升，努力确保不发生重大农产品质量安全事件。</w:t>
      </w:r>
    </w:p>
    <w:p>
      <w:pPr>
        <w:ind w:firstLine="640" w:firstLineChars="200"/>
        <w:rPr>
          <w:rFonts w:ascii="黑体" w:hAnsi="黑体" w:eastAsia="黑体"/>
          <w:szCs w:val="32"/>
        </w:rPr>
      </w:pPr>
      <w:r>
        <w:rPr>
          <w:rFonts w:hint="eastAsia" w:ascii="黑体" w:hAnsi="黑体" w:eastAsia="黑体"/>
          <w:szCs w:val="32"/>
        </w:rPr>
        <w:t>二、整治重点</w:t>
      </w:r>
    </w:p>
    <w:p>
      <w:pPr>
        <w:rPr>
          <w:rFonts w:ascii="仿宋_GB2312"/>
          <w:szCs w:val="32"/>
        </w:rPr>
      </w:pPr>
      <w:r>
        <w:rPr>
          <w:rFonts w:hint="eastAsia" w:ascii="仿宋_GB2312"/>
          <w:szCs w:val="32"/>
        </w:rPr>
        <w:t xml:space="preserve">    2015年重点开展农药及农药使用、“瘦肉精”、生鲜乳违禁物</w:t>
      </w:r>
    </w:p>
    <w:p>
      <w:pPr>
        <w:rPr>
          <w:rFonts w:ascii="仿宋_GB2312"/>
          <w:szCs w:val="32"/>
        </w:rPr>
      </w:pPr>
      <w:r>
        <w:rPr>
          <w:rFonts w:hint="eastAsia" w:ascii="仿宋_GB2312"/>
          <w:szCs w:val="32"/>
        </w:rPr>
        <w:t>质、兽用抗菌药经营使用、生猪屠宰、水产品禁用药物和有毒有害物质、农资打假7个专项整治行动，每个行动的整治重点如下。</w:t>
      </w:r>
    </w:p>
    <w:p>
      <w:pPr>
        <w:rPr>
          <w:rFonts w:ascii="仿宋_GB2312"/>
          <w:szCs w:val="32"/>
        </w:rPr>
      </w:pPr>
      <w:r>
        <w:rPr>
          <w:rFonts w:hint="eastAsia" w:ascii="仿宋_GB2312"/>
          <w:szCs w:val="32"/>
        </w:rPr>
        <w:t xml:space="preserve">    </w:t>
      </w:r>
      <w:r>
        <w:rPr>
          <w:rFonts w:hint="eastAsia" w:ascii="楷体_GB2312" w:eastAsia="楷体_GB2312"/>
          <w:szCs w:val="32"/>
        </w:rPr>
        <w:t>（一）农药及农药使用专项整治行动。</w:t>
      </w:r>
      <w:r>
        <w:rPr>
          <w:rFonts w:hint="eastAsia" w:ascii="仿宋_GB2312"/>
          <w:szCs w:val="32"/>
        </w:rPr>
        <w:t xml:space="preserve">重点产品：蔬菜（以豇豆、细香葱、芹菜、韭菜为重点）、水果、食用菌等农产品，甲胺磷等禁用农药和克百威、氧乐果、水胺硫磷、灭多威、三氯杀螨醇等限用农药。重点单位：农药生产经营单位，蔬菜、水果、食用菌等生产企业和专业合作社。重点打击的违法违规行为：违规生产经营禁用农药、假冒伪劣农药的行为，非法添加隐性农药成分的行为，捆绑销售未经登记农药的行为，苦参碱等生物农药添加化学农药的行为，肥料中添加农药的行为，违法使用甲胺磷等禁用农药的行为，克百威、氧乐果、水胺硫磷、灭多威、三氯杀螨醇等限用农药超范围使用的行为。 </w:t>
      </w:r>
    </w:p>
    <w:p>
      <w:pPr>
        <w:ind w:firstLine="640" w:firstLineChars="200"/>
        <w:rPr>
          <w:rFonts w:ascii="仿宋_GB2312"/>
          <w:szCs w:val="32"/>
        </w:rPr>
      </w:pPr>
      <w:r>
        <w:rPr>
          <w:rFonts w:hint="eastAsia" w:ascii="仿宋_GB2312"/>
          <w:szCs w:val="32"/>
        </w:rPr>
        <w:t>此项行动由市种植业办牵头负责，并组织实施。</w:t>
      </w:r>
    </w:p>
    <w:p>
      <w:pPr>
        <w:rPr>
          <w:rFonts w:ascii="仿宋_GB2312"/>
          <w:szCs w:val="32"/>
        </w:rPr>
      </w:pPr>
      <w:r>
        <w:rPr>
          <w:rFonts w:hint="eastAsia" w:ascii="仿宋_GB2312"/>
          <w:szCs w:val="32"/>
        </w:rPr>
        <w:t xml:space="preserve">    </w:t>
      </w:r>
      <w:r>
        <w:rPr>
          <w:rFonts w:hint="eastAsia" w:ascii="楷体_GB2312" w:eastAsia="楷体_GB2312"/>
          <w:szCs w:val="32"/>
        </w:rPr>
        <w:t>（二）“瘦肉精”专项整治行动。</w:t>
      </w:r>
      <w:r>
        <w:rPr>
          <w:rFonts w:hint="eastAsia" w:ascii="仿宋_GB2312"/>
          <w:szCs w:val="32"/>
        </w:rPr>
        <w:t>重点产品：生猪、肉牛、肉羊。重点单位：饲料生产经营企业，生猪和肉牛、肉羊养殖场户，活畜收购贩运企业（合作社、经纪人）。重点打击的违法违规行为：饲料中添加“瘦肉精”的行为，养殖过程中饲喂“瘦肉精”的行为，向养殖户销售的兽药中添加“瘦肉精”的行为，收购贩运含“瘦肉精”活畜的行为，贩运过程中使用“瘦肉精”的行为。</w:t>
      </w:r>
    </w:p>
    <w:p>
      <w:pPr>
        <w:ind w:firstLine="645"/>
        <w:rPr>
          <w:rFonts w:ascii="仿宋_GB2312"/>
          <w:szCs w:val="32"/>
        </w:rPr>
      </w:pPr>
      <w:r>
        <w:rPr>
          <w:rFonts w:hint="eastAsia" w:ascii="仿宋_GB2312"/>
          <w:szCs w:val="32"/>
        </w:rPr>
        <w:t>此项行动由市畜牧兽医局牵头负责，并组织实施。</w:t>
      </w:r>
    </w:p>
    <w:p>
      <w:pPr>
        <w:rPr>
          <w:rFonts w:ascii="仿宋_GB2312"/>
          <w:szCs w:val="32"/>
        </w:rPr>
      </w:pPr>
      <w:r>
        <w:rPr>
          <w:rFonts w:hint="eastAsia" w:ascii="仿宋_GB2312"/>
          <w:szCs w:val="32"/>
        </w:rPr>
        <w:t xml:space="preserve">    </w:t>
      </w:r>
      <w:r>
        <w:rPr>
          <w:rFonts w:hint="eastAsia" w:ascii="楷体_GB2312" w:eastAsia="楷体_GB2312"/>
          <w:szCs w:val="32"/>
        </w:rPr>
        <w:t>（三）生鲜乳违禁物质专项整治行动。</w:t>
      </w:r>
      <w:r>
        <w:rPr>
          <w:rFonts w:hint="eastAsia" w:ascii="仿宋_GB2312"/>
          <w:szCs w:val="32"/>
        </w:rPr>
        <w:t>重点单位：奶牛养殖区域、婴幼儿配方乳粉奶源基地、生鲜乳收购站和运输车等。重点打击的违法违规行为：无证收购运输生鲜乳的行为，生鲜乳中非法添加违禁添加物的行为，趁机压级压价、扰乱生鲜乳收购市场秩序的行为，倒买倒卖不合格生鲜乳以及不按规定对不合格生鲜乳进行销毁、无害化处理的行为。</w:t>
      </w:r>
    </w:p>
    <w:p>
      <w:pPr>
        <w:ind w:firstLine="645"/>
        <w:rPr>
          <w:rFonts w:ascii="仿宋_GB2312"/>
          <w:szCs w:val="32"/>
        </w:rPr>
      </w:pPr>
      <w:r>
        <w:rPr>
          <w:rFonts w:hint="eastAsia" w:ascii="仿宋_GB2312"/>
          <w:szCs w:val="32"/>
        </w:rPr>
        <w:t>此项行动由市畜牧兽医局牵头负责，并组织实施。</w:t>
      </w:r>
    </w:p>
    <w:p>
      <w:pPr>
        <w:rPr>
          <w:rFonts w:ascii="仿宋_GB2312"/>
          <w:szCs w:val="32"/>
        </w:rPr>
      </w:pPr>
      <w:r>
        <w:rPr>
          <w:rFonts w:hint="eastAsia" w:ascii="仿宋_GB2312"/>
          <w:szCs w:val="32"/>
        </w:rPr>
        <w:t xml:space="preserve">    </w:t>
      </w:r>
      <w:r>
        <w:rPr>
          <w:rFonts w:hint="eastAsia" w:ascii="楷体_GB2312" w:eastAsia="楷体_GB2312"/>
          <w:szCs w:val="32"/>
        </w:rPr>
        <w:t>（四）兽用抗菌药经营使用专项整治行动。</w:t>
      </w:r>
      <w:r>
        <w:rPr>
          <w:rFonts w:hint="eastAsia" w:ascii="仿宋_GB2312"/>
          <w:szCs w:val="32"/>
        </w:rPr>
        <w:t>重点产品：禽、蛋产品；禁用兽药，假劣兽药，兽药标签违规产品，未经农业部批准使用的兽药产品，非法改变兽药标准的产品，非法添加隐性成分的兽药产品，兽药标准已被废止且其产品已超过市场流通期的非法产品。重点对象：畜禽规模养殖场（小区），兽用化学药品经营企业（零售药店），饲料生产企业（重点为使用药物饲料添加剂生产饲料的企业），基层畜牧兽医站药房，从事畜禽疾病诊疗活动的单位和个人。重点任务：集中清缴非法兽药产品，集中力量对兽药经营、使用环节实施拉网式检查，清查出的非法兽药全部收缴销毁，实施追根溯源，依法严惩非法生产、经营和使用行为。加强兽药经营环节监管，全面检查兽药GSP和兽用处方药管理制度落实情况，坚决清理未达到兽药GSP要求的兽药经营门店。规范兽用抗菌药使用行为，积极开展安全用药宣传和培训活动，督促兽药使用者落实兽药安全使用规定。加大兽用抗菌药质量抽检和残留监控力度，强化抽检结果利用，跟进实施检打联动。重点打击的违法违规行为：兽药生产、经营者未凭兽医处方销售兽用处方药的行为，未按规定建立兽用处方药销售台账、兽用处方未做到妥善保存备查的行为，兽药生产企业未凭处方直接将兽用处方药销售到无执业兽医签约养殖场（户）的行为，兽药经营者销售违禁和未经批准使用的抗菌药物的行为，兽用抗菌原料药拆零销售或者销售给兽药生产企业以外的单位和个人的行为，兽药中非法添加隐性成分的行为，超剂量超范围使用抗菌药的行为，不执行休药期的行为，饲料生产过程中超剂量、超范围添加药物饲料添加剂以及添加未经批准的药物饲料添加剂的行为，含有药物饲料添加剂的饲料产品标签不按规定标注休药期的行为。</w:t>
      </w:r>
    </w:p>
    <w:p>
      <w:pPr>
        <w:ind w:firstLine="645"/>
        <w:rPr>
          <w:rFonts w:ascii="仿宋_GB2312"/>
          <w:szCs w:val="32"/>
        </w:rPr>
      </w:pPr>
      <w:r>
        <w:rPr>
          <w:rFonts w:hint="eastAsia" w:ascii="仿宋_GB2312"/>
          <w:szCs w:val="32"/>
        </w:rPr>
        <w:t>此项行动由市畜牧兽医局牵头负责，并组织实施。</w:t>
      </w:r>
    </w:p>
    <w:p>
      <w:pPr>
        <w:rPr>
          <w:rFonts w:ascii="仿宋_GB2312"/>
          <w:szCs w:val="32"/>
        </w:rPr>
      </w:pPr>
      <w:r>
        <w:rPr>
          <w:rFonts w:hint="eastAsia" w:ascii="仿宋_GB2312"/>
          <w:szCs w:val="32"/>
        </w:rPr>
        <w:t xml:space="preserve">    </w:t>
      </w:r>
      <w:r>
        <w:rPr>
          <w:rFonts w:hint="eastAsia" w:ascii="楷体_GB2312" w:eastAsia="楷体_GB2312"/>
          <w:szCs w:val="32"/>
        </w:rPr>
        <w:t>（五）生猪屠宰专项整治行动。</w:t>
      </w:r>
      <w:r>
        <w:rPr>
          <w:rFonts w:hint="eastAsia" w:ascii="仿宋_GB2312"/>
          <w:szCs w:val="32"/>
        </w:rPr>
        <w:t>重点产品：生猪。重点对象：屠宰场，私屠滥宰“黑窝点”，收购病死猪的“黑窝点”。重点打击的违法违规行为：私屠滥宰行为，注水或注入其他物质的行为，屠宰环节违法添加使用“瘦肉精”的行为，违法销售、屠宰病死猪的行为。</w:t>
      </w:r>
    </w:p>
    <w:p>
      <w:pPr>
        <w:ind w:firstLine="640" w:firstLineChars="200"/>
        <w:rPr>
          <w:rFonts w:ascii="仿宋_GB2312"/>
          <w:szCs w:val="32"/>
        </w:rPr>
      </w:pPr>
      <w:r>
        <w:rPr>
          <w:rFonts w:hint="eastAsia" w:ascii="仿宋_GB2312"/>
          <w:szCs w:val="32"/>
        </w:rPr>
        <w:t>此项行动由市畜牧兽医局牵头负责，并组织实施。</w:t>
      </w:r>
    </w:p>
    <w:p>
      <w:pPr>
        <w:rPr>
          <w:rFonts w:ascii="仿宋_GB2312"/>
          <w:szCs w:val="32"/>
        </w:rPr>
      </w:pPr>
      <w:r>
        <w:rPr>
          <w:rFonts w:hint="eastAsia" w:ascii="仿宋_GB2312"/>
          <w:szCs w:val="32"/>
        </w:rPr>
        <w:t xml:space="preserve">    </w:t>
      </w:r>
      <w:r>
        <w:rPr>
          <w:rFonts w:hint="eastAsia" w:ascii="楷体_GB2312" w:eastAsia="楷体_GB2312"/>
          <w:szCs w:val="32"/>
        </w:rPr>
        <w:t>（六）水产品禁用药物和有毒有害物质专项整治行动。</w:t>
      </w:r>
      <w:r>
        <w:rPr>
          <w:rFonts w:hint="eastAsia" w:ascii="仿宋_GB2312"/>
          <w:szCs w:val="32"/>
        </w:rPr>
        <w:t xml:space="preserve">    重点品种：鳜鱼、乌鳢、鲆鲽类、斑点又尾鲴等水产养殖品种。重点单位：水产养殖场（企业）、水产苗种生产单位。重点打击的违法违规行为：养殖及育苗过程中使用硝基呋喃类代</w:t>
      </w:r>
    </w:p>
    <w:p>
      <w:pPr>
        <w:rPr>
          <w:rFonts w:ascii="仿宋_GB2312"/>
          <w:szCs w:val="32"/>
        </w:rPr>
      </w:pPr>
      <w:r>
        <w:rPr>
          <w:rFonts w:hint="eastAsia" w:ascii="仿宋_GB2312"/>
          <w:szCs w:val="32"/>
        </w:rPr>
        <w:t>谢物、氯霉素、孔雀石绿等禁用药物及有毒有害物质的行为，不执行休药期的行为。</w:t>
      </w:r>
    </w:p>
    <w:p>
      <w:pPr>
        <w:ind w:firstLine="640" w:firstLineChars="200"/>
        <w:rPr>
          <w:rFonts w:ascii="仿宋_GB2312"/>
          <w:szCs w:val="32"/>
        </w:rPr>
      </w:pPr>
      <w:r>
        <w:rPr>
          <w:rFonts w:hint="eastAsia" w:ascii="仿宋_GB2312"/>
          <w:szCs w:val="32"/>
        </w:rPr>
        <w:t>此项行动由市水产办牵头负责，并组织实施。</w:t>
      </w:r>
    </w:p>
    <w:p>
      <w:pPr>
        <w:rPr>
          <w:rFonts w:ascii="仿宋_GB2312"/>
          <w:szCs w:val="32"/>
        </w:rPr>
      </w:pPr>
      <w:r>
        <w:rPr>
          <w:rFonts w:hint="eastAsia" w:ascii="仿宋_GB2312"/>
          <w:szCs w:val="32"/>
        </w:rPr>
        <w:t xml:space="preserve">    </w:t>
      </w:r>
      <w:r>
        <w:rPr>
          <w:rFonts w:hint="eastAsia" w:ascii="楷体_GB2312" w:eastAsia="楷体_GB2312"/>
          <w:szCs w:val="32"/>
        </w:rPr>
        <w:t>（七）农资打假专项治理行动。</w:t>
      </w:r>
      <w:r>
        <w:rPr>
          <w:rFonts w:hint="eastAsia" w:ascii="仿宋_GB2312"/>
          <w:szCs w:val="32"/>
        </w:rPr>
        <w:t>重点产品：种子、农药、肥料、兽药、饲料和饲料添加剂、农机具等。重点时节：春耕备耕、“三夏”、秋冬种等假冒伪劣农资混入市场的高峰期。重点区域：农资主产区、小规模经营聚集区、区域交界处、农资批发市场、专业市场、集散地、运销大户和乡村流动商贩。重点打击的违法违规行为：种子制假售假、套牌便权、未审先推的行为，农药中非法添加隐性成分和生产、经营禁用农药的行为，肥料有效成分含量与标识严重不符的行为，擅自改变兽药处方的行为，兽药中违规添加禁用兽药、人用药品或“瘦肉精”等其他禁用物质的行为，饲料和饲料添加剂中非法添加禁用物质和目录外物质的行为。</w:t>
      </w:r>
    </w:p>
    <w:p>
      <w:pPr>
        <w:ind w:firstLine="640" w:firstLineChars="200"/>
        <w:rPr>
          <w:rFonts w:ascii="仿宋_GB2312"/>
          <w:szCs w:val="32"/>
        </w:rPr>
      </w:pPr>
      <w:r>
        <w:rPr>
          <w:rFonts w:hint="eastAsia" w:ascii="仿宋_GB2312"/>
          <w:szCs w:val="32"/>
        </w:rPr>
        <w:t xml:space="preserve">此项行动由市农委牵头，农业系统各部门分别组织实施。    </w:t>
      </w:r>
    </w:p>
    <w:p>
      <w:pPr>
        <w:rPr>
          <w:rFonts w:ascii="黑体" w:hAnsi="黑体" w:eastAsia="黑体"/>
          <w:szCs w:val="32"/>
        </w:rPr>
      </w:pPr>
      <w:r>
        <w:rPr>
          <w:rFonts w:hint="eastAsia" w:ascii="仿宋_GB2312"/>
          <w:szCs w:val="32"/>
        </w:rPr>
        <w:t xml:space="preserve">    </w:t>
      </w:r>
      <w:r>
        <w:rPr>
          <w:rFonts w:hint="eastAsia" w:ascii="黑体" w:hAnsi="黑体" w:eastAsia="黑体"/>
          <w:szCs w:val="32"/>
        </w:rPr>
        <w:t>三、主要措施</w:t>
      </w:r>
    </w:p>
    <w:p>
      <w:pPr>
        <w:rPr>
          <w:rFonts w:ascii="仿宋_GB2312"/>
          <w:szCs w:val="32"/>
        </w:rPr>
      </w:pPr>
      <w:r>
        <w:rPr>
          <w:rFonts w:hint="eastAsia" w:ascii="仿宋_GB2312"/>
          <w:szCs w:val="32"/>
        </w:rPr>
        <w:t xml:space="preserve">    </w:t>
      </w:r>
      <w:r>
        <w:rPr>
          <w:rFonts w:hint="eastAsia" w:ascii="楷体_GB2312" w:eastAsia="楷体_GB2312"/>
          <w:szCs w:val="32"/>
        </w:rPr>
        <w:t>（一）强化生产经营主体责任。</w:t>
      </w:r>
      <w:r>
        <w:rPr>
          <w:rFonts w:hint="eastAsia" w:ascii="仿宋_GB2312"/>
          <w:szCs w:val="32"/>
        </w:rPr>
        <w:t>要采取多种方式，督促生产经营主体全面落实企业主体责任，依法告知其法定义务和违法犯罪后果，使其做到知法、懂法、用法和守法。实行农产品质量安全承诺制度，积极推进诚信生产经营。督促种养殖企业落实生产记录制度，完善种养殖档案，经营单位做好购销货台账。督促兽药生产经营企业严格按照兽药生产质量管理规范（兽药GMP）、兽药经营质量管理规范( GSP)生产、经营兽药。督促饲料生产企业严格执行原料进厂把关、产品出厂检验、问题产品召回及报告等制度，严禁使用“三个目录”以外的物质生产饲料。督促生猪收购贩运企业（合作社、经纪人）健全证明材料查验制度和收购贩运牲畜交易记录制度。督促屠宰企业健全落实生猪入场检查登记、肉品品质检验、“瘦肉精”自检等制度。监督屠宰企业及时对病害猪进行无害化处理，强化屠宰环节病害猪无害化处理补贴经费管理。督促企业建立药物添加安全自控制度。</w:t>
      </w:r>
    </w:p>
    <w:p>
      <w:pPr>
        <w:ind w:firstLine="645"/>
        <w:rPr>
          <w:rFonts w:ascii="仿宋_GB2312"/>
          <w:szCs w:val="32"/>
        </w:rPr>
      </w:pPr>
      <w:r>
        <w:rPr>
          <w:rFonts w:hint="eastAsia" w:ascii="楷体_GB2312" w:eastAsia="楷体_GB2312"/>
          <w:szCs w:val="32"/>
        </w:rPr>
        <w:t>（二）做好风险隐患排查。</w:t>
      </w:r>
      <w:r>
        <w:rPr>
          <w:rFonts w:hint="eastAsia" w:ascii="仿宋_GB2312"/>
          <w:szCs w:val="32"/>
        </w:rPr>
        <w:t>各区县、各部门要结合地方实际，围绕本地区重点行业、重点环节和重点领域，加大风险监测力度，全面系统地开展风险隐患排查，及时发现各类区域性、行业性风险隐患及“潜规则”问题。对于水质改良剂、清塘剂、除草剂，要严密排查非法添加药物的行为。针对发现的问题隐患，要迅速反应，及时预警，主动设防，通过开展风险信息提示、生产技术指导、专项监督检查等行动及时进行查漏补缺，做到风险受控，防患于未然。</w:t>
      </w:r>
    </w:p>
    <w:p>
      <w:pPr>
        <w:ind w:firstLine="640" w:firstLineChars="200"/>
        <w:rPr>
          <w:rFonts w:ascii="仿宋_GB2312"/>
          <w:szCs w:val="32"/>
        </w:rPr>
      </w:pPr>
      <w:r>
        <w:rPr>
          <w:rFonts w:hint="eastAsia" w:ascii="楷体_GB2312" w:eastAsia="楷体_GB2312"/>
          <w:szCs w:val="32"/>
        </w:rPr>
        <w:t>（三）加强日常巡查检查。</w:t>
      </w:r>
      <w:r>
        <w:rPr>
          <w:rFonts w:hint="eastAsia" w:ascii="仿宋_GB2312"/>
          <w:szCs w:val="32"/>
        </w:rPr>
        <w:t>建立和完善日常巡查检查制度，对于风险隐患大和问题易发多发地区要加大巡查检查频次。实施网格化监管，每个监管对象都要明确监管责任人，及时做好巡查检查工作记录。要细化巡查检查要点，奶站和运输车重点是标准化管理、生鲜乳质量检验、不合格生鲜乳处理、安全制度落实等情况。兽药销售重点是《兽用处方药和非处方药管理办法》的落实情况，有效落实兽药分类管理制度。要强化对饲料企业添加药物饲料添加剂的监督检查。动物卫生检查站加强查验过往运载活畜车辆，发现问题要及时处理。</w:t>
      </w:r>
    </w:p>
    <w:p>
      <w:pPr>
        <w:rPr>
          <w:rFonts w:ascii="仿宋_GB2312"/>
          <w:szCs w:val="32"/>
        </w:rPr>
      </w:pPr>
      <w:r>
        <w:rPr>
          <w:rFonts w:hint="eastAsia" w:ascii="仿宋_GB2312"/>
          <w:szCs w:val="32"/>
        </w:rPr>
        <w:t xml:space="preserve">    </w:t>
      </w:r>
      <w:r>
        <w:rPr>
          <w:rFonts w:hint="eastAsia" w:ascii="楷体_GB2312" w:eastAsia="楷体_GB2312"/>
          <w:szCs w:val="32"/>
        </w:rPr>
        <w:t>（四）加大监督抽查力度。</w:t>
      </w:r>
      <w:r>
        <w:rPr>
          <w:rFonts w:hint="eastAsia" w:ascii="仿宋_GB2312"/>
          <w:szCs w:val="32"/>
        </w:rPr>
        <w:t>要做好监督抽查计划，对于监测合格率较低的地区、风险隐患高、问题突出的投入品和农产品，要加大监督抽查力度。对于抽查出的不合格产品，要跟进开展农产品质量安全执法，建立检打联动工作机制。要重点加大生鲜乳质量安全抽检，开展婴幼儿配方乳粉奶源质量安全专项监测，实现“两个全覆盖”，即监测抽检覆盖所有奶站和运输车，监测指标覆盖国家公布的所有违禁添加物。特别要加大农兽药中非法添加隐性成分的监督抽查力度。</w:t>
      </w:r>
    </w:p>
    <w:p>
      <w:pPr>
        <w:rPr>
          <w:rFonts w:ascii="仿宋_GB2312"/>
          <w:szCs w:val="32"/>
        </w:rPr>
      </w:pPr>
      <w:r>
        <w:rPr>
          <w:rFonts w:hint="eastAsia" w:ascii="仿宋_GB2312"/>
          <w:szCs w:val="32"/>
        </w:rPr>
        <w:t xml:space="preserve">    </w:t>
      </w:r>
      <w:r>
        <w:rPr>
          <w:rFonts w:hint="eastAsia" w:ascii="楷体_GB2312" w:eastAsia="楷体_GB2312"/>
          <w:szCs w:val="32"/>
        </w:rPr>
        <w:t>（五）狠抓执法办案。</w:t>
      </w:r>
      <w:r>
        <w:rPr>
          <w:rFonts w:hint="eastAsia" w:ascii="仿宋_GB2312"/>
          <w:szCs w:val="32"/>
        </w:rPr>
        <w:t>各区县、各部门要将农产品质量安全监管执法纳入农业综合执法范围，切实加大行政执法力度，重拳出击、露头就打。要用好用足有关法律法规和办理“瘦肉精”、危害食品安全刑事案件等司法解释，凡达到移送标准的坚决移送司法机关追究刑事责任，严惩重处农产品质量安全违法犯罪分子。积极拓展案源渠道，认真研究违法行为的新特征和新方式，准确把握违法行为的特点和规律，做好线索的排查梳理。对于巡查检查、监督抽查、群众举报等发现的违法违规行为，要做到有案必查、查必到底，查不清源头的决不放过。完善大要案查处工作机制，采取挂牌督办、集中办案等形式，查办一批大案要案，严惩一批违法犯罪分子，曝光一批典型案例，加大案件信息公开力度，充分发挥司法震慑作用。</w:t>
      </w:r>
    </w:p>
    <w:p>
      <w:pPr>
        <w:rPr>
          <w:rFonts w:ascii="仿宋_GB2312"/>
          <w:szCs w:val="32"/>
        </w:rPr>
      </w:pPr>
      <w:r>
        <w:rPr>
          <w:rFonts w:hint="eastAsia" w:ascii="仿宋_GB2312"/>
          <w:szCs w:val="32"/>
        </w:rPr>
        <w:t xml:space="preserve">    </w:t>
      </w:r>
      <w:r>
        <w:rPr>
          <w:rFonts w:hint="eastAsia" w:ascii="楷体_GB2312" w:eastAsia="楷体_GB2312"/>
          <w:szCs w:val="32"/>
        </w:rPr>
        <w:t>（六）加强行业管理。</w:t>
      </w:r>
      <w:r>
        <w:rPr>
          <w:rFonts w:hint="eastAsia" w:ascii="仿宋_GB2312"/>
          <w:szCs w:val="32"/>
        </w:rPr>
        <w:t>加强奶站和运输车发证监管，全面运行“生鲜乳收购站管理系统”，对全市奶站和运输车进行信息化管理。对到期换证的奶站和运输车及时审核发证，对已经取缔、停办、停运的奶站和运输车及时清理，防止无证收购和非法运输。对婴幼儿配方乳粉企业奶源的奶站和运输车进行建档立案，重点监管。加强屠宰行业管理，切实做好生猪定点屠宰许可管理。继续做好生猪定点屠宰企业资格审核清理工作，加强生猪定点屠宰企业设立审批管理，严格执行定点屠宰设置条件和要求，严肃查处定点屠宰企业出租、转让定点屠宰证书和标志牌等违法行为。探索通过备案形式管理活畜收购贩运人员。</w:t>
      </w:r>
    </w:p>
    <w:p>
      <w:pPr>
        <w:rPr>
          <w:rFonts w:ascii="仿宋_GB2312"/>
          <w:szCs w:val="32"/>
        </w:rPr>
      </w:pPr>
      <w:r>
        <w:rPr>
          <w:rFonts w:hint="eastAsia" w:ascii="仿宋_GB2312"/>
          <w:szCs w:val="32"/>
        </w:rPr>
        <w:t xml:space="preserve">    </w:t>
      </w:r>
      <w:r>
        <w:rPr>
          <w:rFonts w:hint="eastAsia" w:ascii="楷体_GB2312" w:eastAsia="楷体_GB2312"/>
          <w:szCs w:val="32"/>
        </w:rPr>
        <w:t>（七）推进社会共治。</w:t>
      </w:r>
      <w:r>
        <w:rPr>
          <w:rFonts w:hint="eastAsia" w:ascii="仿宋_GB2312"/>
          <w:szCs w:val="32"/>
        </w:rPr>
        <w:t>充分发挥社会监督的作用，各区县、各部门要建立举报奖励制度，鼓励人民群众监督举报，同时培育农产品质量安全社会监督员队伍，不断健全问题发现机制，鼓励和动员社会力量参与农产品质量安全监管和协同共治，形成全社会共同推进农产品质量安全的良好氛围。贯彻落实《农业部关于加快推进农产品质量安全信用体系建设的指导意见》，探索完善守信褒奖、失信惩戒机制，让守信者处处受益、失信者寸步难行。</w:t>
      </w:r>
    </w:p>
    <w:p>
      <w:pPr>
        <w:rPr>
          <w:rFonts w:ascii="仿宋_GB2312"/>
          <w:szCs w:val="32"/>
        </w:rPr>
      </w:pPr>
      <w:r>
        <w:rPr>
          <w:rFonts w:hint="eastAsia" w:ascii="仿宋_GB2312"/>
          <w:szCs w:val="32"/>
        </w:rPr>
        <w:t xml:space="preserve">    </w:t>
      </w:r>
      <w:r>
        <w:rPr>
          <w:rFonts w:hint="eastAsia" w:ascii="楷体_GB2312" w:eastAsia="楷体_GB2312"/>
          <w:szCs w:val="32"/>
        </w:rPr>
        <w:t>（八）加强指导服务。</w:t>
      </w:r>
      <w:r>
        <w:rPr>
          <w:rFonts w:hint="eastAsia" w:ascii="仿宋_GB2312"/>
          <w:szCs w:val="32"/>
        </w:rPr>
        <w:t>强化生产经营者质量安全法律法规宣</w:t>
      </w:r>
    </w:p>
    <w:p>
      <w:pPr>
        <w:rPr>
          <w:rFonts w:ascii="仿宋_GB2312"/>
          <w:szCs w:val="32"/>
        </w:rPr>
      </w:pPr>
      <w:r>
        <w:rPr>
          <w:rFonts w:hint="eastAsia" w:ascii="仿宋_GB2312"/>
          <w:szCs w:val="32"/>
        </w:rPr>
        <w:t>传教育培训，提高质量安全责任意识，掌握风险防控方法。要加强农产品质量安全培训，大力推广标准化生产技术，指导生产者科学合理使用农业投入品，督促建立健全养殖档案和用药记录，严格落实休药期制度。</w:t>
      </w:r>
    </w:p>
    <w:p>
      <w:pPr>
        <w:ind w:firstLine="640" w:firstLineChars="200"/>
        <w:rPr>
          <w:rFonts w:ascii="黑体" w:hAnsi="黑体" w:eastAsia="黑体"/>
          <w:szCs w:val="32"/>
        </w:rPr>
      </w:pPr>
      <w:r>
        <w:rPr>
          <w:rFonts w:hint="eastAsia" w:ascii="黑体" w:hAnsi="黑体" w:eastAsia="黑体"/>
          <w:szCs w:val="32"/>
        </w:rPr>
        <w:t>四、重大活动安排</w:t>
      </w:r>
    </w:p>
    <w:p>
      <w:pPr>
        <w:ind w:firstLine="640" w:firstLineChars="200"/>
        <w:rPr>
          <w:rFonts w:ascii="仿宋_GB2312"/>
          <w:szCs w:val="32"/>
        </w:rPr>
      </w:pPr>
      <w:r>
        <w:rPr>
          <w:rFonts w:hint="eastAsia" w:ascii="仿宋_GB2312"/>
          <w:szCs w:val="32"/>
        </w:rPr>
        <w:t>2月份，农业部组织召开全国农资打假专项治理行动电视电话会议，我市设立分会场，部署2015年农资打假和监管工作。</w:t>
      </w:r>
    </w:p>
    <w:p>
      <w:pPr>
        <w:rPr>
          <w:rFonts w:ascii="仿宋_GB2312"/>
          <w:szCs w:val="32"/>
        </w:rPr>
      </w:pPr>
      <w:r>
        <w:rPr>
          <w:rFonts w:hint="eastAsia" w:ascii="仿宋_GB2312"/>
          <w:szCs w:val="32"/>
        </w:rPr>
        <w:t xml:space="preserve">    3月份，组织开展“第十一届放心农资下乡进村宣传周”，举办放心农资下乡进村现场咨询活动，加大农资打假宣传力度，普及识假辨假知识，积极营造打假护农保春耕的良好氛围。</w:t>
      </w:r>
    </w:p>
    <w:p>
      <w:pPr>
        <w:rPr>
          <w:rFonts w:ascii="仿宋_GB2312"/>
          <w:szCs w:val="32"/>
        </w:rPr>
      </w:pPr>
      <w:r>
        <w:rPr>
          <w:rFonts w:hint="eastAsia" w:ascii="仿宋_GB2312"/>
          <w:szCs w:val="32"/>
        </w:rPr>
        <w:t xml:space="preserve">    4月，组织开展“菜篮子”产品质量安全专题培训班，切实提高基层监管能力。</w:t>
      </w:r>
    </w:p>
    <w:p>
      <w:pPr>
        <w:rPr>
          <w:rFonts w:ascii="仿宋_GB2312"/>
          <w:szCs w:val="32"/>
        </w:rPr>
      </w:pPr>
      <w:r>
        <w:rPr>
          <w:rFonts w:hint="eastAsia" w:ascii="仿宋_GB2312"/>
          <w:szCs w:val="32"/>
        </w:rPr>
        <w:t>5月，组织开展上半年养殖场（户）“瘦肉精”拉网监测，督促各区县强化抽检把关和隐患排查。</w:t>
      </w:r>
    </w:p>
    <w:p>
      <w:pPr>
        <w:rPr>
          <w:rFonts w:ascii="仿宋_GB2312"/>
          <w:szCs w:val="32"/>
        </w:rPr>
      </w:pPr>
      <w:r>
        <w:rPr>
          <w:rFonts w:hint="eastAsia" w:ascii="仿宋_GB2312"/>
          <w:szCs w:val="32"/>
        </w:rPr>
        <w:t>　　6月，组织开展农产品质量安全宣传周活动，提高全社会的质量安全意识。</w:t>
      </w:r>
    </w:p>
    <w:p>
      <w:pPr>
        <w:rPr>
          <w:rFonts w:ascii="仿宋_GB2312"/>
          <w:szCs w:val="32"/>
        </w:rPr>
      </w:pPr>
      <w:r>
        <w:rPr>
          <w:rFonts w:hint="eastAsia" w:ascii="仿宋_GB2312"/>
          <w:szCs w:val="32"/>
        </w:rPr>
        <w:t>　　6-8月，组织开展农资打假夏季百日行动，切实保障“三夏”生产和农产品质量安全。</w:t>
      </w:r>
    </w:p>
    <w:p>
      <w:pPr>
        <w:rPr>
          <w:rFonts w:ascii="仿宋_GB2312"/>
          <w:szCs w:val="32"/>
        </w:rPr>
      </w:pPr>
      <w:r>
        <w:rPr>
          <w:rFonts w:hint="eastAsia" w:ascii="仿宋_GB2312"/>
          <w:szCs w:val="32"/>
        </w:rPr>
        <w:t>　　7-8月，组织工作组到农药生产使用及蔬菜水果生产重点，深入农药生产企业、经营门店、田间地头、管理机构等开展农药执法督导检查。</w:t>
      </w:r>
    </w:p>
    <w:p>
      <w:pPr>
        <w:rPr>
          <w:rFonts w:ascii="仿宋_GB2312"/>
          <w:szCs w:val="32"/>
        </w:rPr>
      </w:pPr>
      <w:r>
        <w:rPr>
          <w:rFonts w:hint="eastAsia" w:ascii="仿宋_GB2312"/>
          <w:szCs w:val="32"/>
        </w:rPr>
        <w:t>　　9月，组织开展农产品质量安全专项整治督导检查，督促各地落实整治任务。组织开展下半年养殖场（户）“瘦肉精”拉网监测，督促各区县强化抽检把关和隐患排查。</w:t>
      </w:r>
    </w:p>
    <w:p>
      <w:pPr>
        <w:ind w:firstLine="645"/>
        <w:rPr>
          <w:rFonts w:ascii="仿宋_GB2312"/>
          <w:szCs w:val="32"/>
        </w:rPr>
      </w:pPr>
      <w:r>
        <w:rPr>
          <w:rFonts w:hint="eastAsia" w:ascii="仿宋_GB2312"/>
          <w:szCs w:val="32"/>
        </w:rPr>
        <w:t>10-11月，组织开展农资打假秋冬季行动，保障秋冬季农业生产顺利进行。</w:t>
      </w:r>
    </w:p>
    <w:p>
      <w:pPr>
        <w:ind w:firstLine="800" w:firstLineChars="250"/>
        <w:rPr>
          <w:rFonts w:ascii="黑体" w:hAnsi="黑体" w:eastAsia="黑体"/>
          <w:szCs w:val="32"/>
        </w:rPr>
      </w:pPr>
      <w:r>
        <w:rPr>
          <w:rFonts w:hint="eastAsia" w:ascii="黑体" w:hAnsi="黑体" w:eastAsia="黑体"/>
          <w:szCs w:val="32"/>
        </w:rPr>
        <w:t>五、工作要求</w:t>
      </w:r>
      <w:r>
        <w:rPr>
          <w:rFonts w:ascii="黑体" w:hAnsi="黑体" w:eastAsia="黑体"/>
          <w:szCs w:val="32"/>
        </w:rPr>
        <w:tab/>
      </w:r>
    </w:p>
    <w:p>
      <w:pPr>
        <w:rPr>
          <w:rFonts w:ascii="仿宋_GB2312"/>
          <w:szCs w:val="32"/>
        </w:rPr>
      </w:pPr>
      <w:r>
        <w:rPr>
          <w:rFonts w:hint="eastAsia" w:ascii="仿宋_GB2312"/>
          <w:szCs w:val="32"/>
        </w:rPr>
        <w:t xml:space="preserve">    </w:t>
      </w:r>
      <w:r>
        <w:rPr>
          <w:rFonts w:hint="eastAsia" w:ascii="楷体_GB2312" w:eastAsia="楷体_GB2312"/>
          <w:szCs w:val="32"/>
        </w:rPr>
        <w:t>（一）强化责任落实。</w:t>
      </w:r>
      <w:r>
        <w:rPr>
          <w:rFonts w:hint="eastAsia" w:ascii="仿宋_GB2312"/>
          <w:szCs w:val="32"/>
        </w:rPr>
        <w:t>各区县、各部门要把农产品质量安全专项整治纳入重要议事日程，加大监管、检测、执法等工作经费投入，加强工作力量，切实落实农产品质量安全监管责任。各地要根据实际情况，尽快制定有针对性的实施方案，要突出重点、措施有力、要求明确，确保各项工作落到实处。要加大督导检查力度，督促各地落实方案的各项要求，对重点地区和重点案件实施现场指导、督查督办，切实指导各地开展工作。</w:t>
      </w:r>
    </w:p>
    <w:p>
      <w:pPr>
        <w:rPr>
          <w:rFonts w:ascii="仿宋_GB2312"/>
          <w:szCs w:val="32"/>
        </w:rPr>
      </w:pPr>
      <w:r>
        <w:rPr>
          <w:rFonts w:hint="eastAsia" w:ascii="仿宋_GB2312"/>
          <w:szCs w:val="32"/>
        </w:rPr>
        <w:t xml:space="preserve">    </w:t>
      </w:r>
      <w:r>
        <w:rPr>
          <w:rFonts w:hint="eastAsia" w:ascii="楷体" w:hAnsi="楷体" w:eastAsia="楷体"/>
          <w:szCs w:val="32"/>
        </w:rPr>
        <w:t>（二）加强协调配合。</w:t>
      </w:r>
      <w:r>
        <w:rPr>
          <w:rFonts w:hint="eastAsia" w:ascii="仿宋_GB2312"/>
          <w:szCs w:val="32"/>
        </w:rPr>
        <w:t>各区县、各部门要加强系统内的协调配合，形成监管合力。整治工作涉及多部门的，要加强跨部门合作，开展联合行动，采取综合性措施，确保整治工作取得实效。各专项行动要加强与公安部门的合作，严厉打击各种违法犯罪行为。案件查处过程中，要强化部门间的联合执法，建立案件会商、抽检结果共享、信息通报交流等制度，产地、销地衔接配合更加紧密，形成执法合力。</w:t>
      </w:r>
    </w:p>
    <w:p>
      <w:pPr>
        <w:rPr>
          <w:rFonts w:ascii="仿宋_GB2312"/>
          <w:szCs w:val="32"/>
        </w:rPr>
      </w:pPr>
      <w:r>
        <w:rPr>
          <w:rFonts w:hint="eastAsia" w:ascii="仿宋_GB2312"/>
          <w:szCs w:val="32"/>
        </w:rPr>
        <w:t xml:space="preserve">    </w:t>
      </w:r>
      <w:r>
        <w:rPr>
          <w:rFonts w:hint="eastAsia" w:ascii="楷体_GB2312" w:eastAsia="楷体_GB2312"/>
          <w:szCs w:val="32"/>
        </w:rPr>
        <w:t>（三）健全长效机制。</w:t>
      </w:r>
      <w:r>
        <w:rPr>
          <w:rFonts w:hint="eastAsia" w:ascii="仿宋_GB2312"/>
          <w:szCs w:val="32"/>
        </w:rPr>
        <w:t>各区县、各部门要注重总结整治工作中的好经验、好做法，充分发挥地方的主动性和创造性，在准出准入质量追溯、诚信管理等方面，积极探索行之有效的监管制度机制，切实提高农产品质量安全监管效能。加大专项整治成效的宣传，适时曝光典型案例，形成强大宣传声势，营造良好的社会舆论氛围。</w:t>
      </w:r>
    </w:p>
    <w:p>
      <w:pPr>
        <w:rPr>
          <w:rFonts w:ascii="仿宋_GB2312"/>
          <w:szCs w:val="32"/>
        </w:rPr>
      </w:pPr>
      <w:r>
        <w:rPr>
          <w:rFonts w:hint="eastAsia" w:ascii="仿宋_GB2312"/>
          <w:szCs w:val="32"/>
        </w:rPr>
        <w:t xml:space="preserve">    </w:t>
      </w:r>
      <w:r>
        <w:rPr>
          <w:rFonts w:hint="eastAsia" w:ascii="楷体_GB2312" w:eastAsia="楷体_GB2312"/>
          <w:szCs w:val="32"/>
        </w:rPr>
        <w:t>（四）强化信息报送。</w:t>
      </w:r>
      <w:r>
        <w:rPr>
          <w:rFonts w:hint="eastAsia" w:ascii="仿宋_GB2312"/>
          <w:szCs w:val="32"/>
        </w:rPr>
        <w:t>建立固定的整治信息报送机制。案件信息实行月报制度，每月的5日前报送上月的查办案件情况统计表（附件1），大案要案（移送司法机关的案件）要报送详细案情。常规信息实行季报制度，分别于2015年4、7、10月和2016年1月的5日前报送上一季度整治情况统计表（附件2）和前一阶段整治工作进展情况（包括整体情况、主要措施、存在的问题、下一步工作安排等）。2015年12月10日加报一次1-11月份的整治情况统计表（附件2）和整治工作进展情况。市种植业办、市畜牧兽医局和市水产办要切实做好信息统计报送工作，责任要落实到人，请于4月10日前确定一名同志作为信息联络员，并将其姓名、单位、职务、工作电话、手机、电子邮箱报送市农委质量安全监管处。</w:t>
      </w:r>
    </w:p>
    <w:p>
      <w:pPr>
        <w:tabs>
          <w:tab w:val="left" w:pos="7776"/>
        </w:tabs>
        <w:spacing w:line="620" w:lineRule="exact"/>
        <w:ind w:firstLine="640" w:firstLineChars="200"/>
        <w:jc w:val="left"/>
        <w:rPr>
          <w:rFonts w:ascii="仿宋_GB2312" w:hAnsi="Times New Roman"/>
        </w:rPr>
      </w:pPr>
      <w:r>
        <w:rPr>
          <w:rFonts w:hint="eastAsia" w:ascii="仿宋_GB2312"/>
          <w:szCs w:val="32"/>
        </w:rPr>
        <w:t xml:space="preserve">  </w:t>
      </w:r>
      <w:r>
        <w:rPr>
          <w:rFonts w:hint="eastAsia" w:ascii="仿宋_GB2312" w:hAnsi="Times New Roman"/>
        </w:rPr>
        <w:t>联系人：刘烨潼；电话：88290652；传真：88290651；电子邮箱:nwnzc@163.com。</w:t>
      </w:r>
    </w:p>
    <w:p>
      <w:pPr>
        <w:tabs>
          <w:tab w:val="left" w:pos="7776"/>
        </w:tabs>
        <w:spacing w:line="620" w:lineRule="exact"/>
        <w:jc w:val="left"/>
        <w:rPr>
          <w:rFonts w:ascii="仿宋_GB2312" w:hAnsi="Times New Roman"/>
        </w:rPr>
      </w:pPr>
    </w:p>
    <w:p>
      <w:pPr>
        <w:tabs>
          <w:tab w:val="left" w:pos="7776"/>
        </w:tabs>
        <w:spacing w:line="620" w:lineRule="exact"/>
        <w:ind w:firstLine="640" w:firstLineChars="200"/>
        <w:jc w:val="left"/>
        <w:rPr>
          <w:rFonts w:ascii="仿宋_GB2312" w:hAnsi="Times New Roman"/>
        </w:rPr>
      </w:pPr>
      <w:r>
        <w:rPr>
          <w:rFonts w:hint="eastAsia" w:ascii="仿宋_GB2312" w:hAnsi="Times New Roman"/>
        </w:rPr>
        <w:t>附表：1.2015年XX月份农业部门查办案件统计表</w:t>
      </w:r>
    </w:p>
    <w:p>
      <w:pPr>
        <w:tabs>
          <w:tab w:val="left" w:pos="7776"/>
        </w:tabs>
        <w:spacing w:line="620" w:lineRule="exact"/>
        <w:ind w:firstLine="1600" w:firstLineChars="500"/>
        <w:jc w:val="left"/>
        <w:rPr>
          <w:rFonts w:ascii="仿宋_GB2312" w:hAnsi="Times New Roman"/>
        </w:rPr>
      </w:pPr>
      <w:r>
        <w:rPr>
          <w:rFonts w:hint="eastAsia" w:ascii="仿宋_GB2312" w:hAnsi="Times New Roman"/>
        </w:rPr>
        <w:t>2.2015年第XX季度农产品质量安全专项整治情况统计表</w:t>
      </w:r>
    </w:p>
    <w:p>
      <w:pPr>
        <w:tabs>
          <w:tab w:val="left" w:pos="7776"/>
        </w:tabs>
        <w:spacing w:line="620" w:lineRule="exact"/>
        <w:jc w:val="left"/>
        <w:rPr>
          <w:rFonts w:ascii="仿宋_GB2312" w:hAnsi="Times New Roman"/>
          <w:szCs w:val="32"/>
        </w:rPr>
      </w:pPr>
      <w:r>
        <w:rPr>
          <w:rFonts w:ascii="仿宋_GB2312" w:hAnsi="Times New Roman"/>
        </w:rPr>
        <w:t xml:space="preserve"> </w:t>
      </w:r>
      <w:r>
        <w:rPr>
          <w:rFonts w:hint="eastAsia" w:ascii="仿宋_GB2312" w:hAnsi="Times New Roman"/>
        </w:rPr>
        <w:t xml:space="preserve">　　     </w:t>
      </w:r>
      <w:r>
        <w:rPr>
          <w:rFonts w:ascii="仿宋_GB2312" w:hAnsi="Times New Roman"/>
          <w:szCs w:val="32"/>
        </w:rPr>
        <w:tab/>
      </w:r>
    </w:p>
    <w:p>
      <w:pPr>
        <w:rPr>
          <w:rFonts w:ascii="仿宋_GB2312"/>
          <w:szCs w:val="32"/>
        </w:rPr>
        <w:sectPr>
          <w:footerReference r:id="rId5" w:type="first"/>
          <w:footerReference r:id="rId3" w:type="default"/>
          <w:footerReference r:id="rId4" w:type="even"/>
          <w:pgSz w:w="11906" w:h="16838"/>
          <w:pgMar w:top="1440" w:right="1416" w:bottom="1440" w:left="1560" w:header="851" w:footer="992" w:gutter="0"/>
          <w:pgNumType w:fmt="numberInDash"/>
          <w:cols w:space="425" w:num="1"/>
          <w:docGrid w:type="lines" w:linePitch="312" w:charSpace="0"/>
        </w:sectPr>
      </w:pPr>
    </w:p>
    <w:tbl>
      <w:tblPr>
        <w:tblStyle w:val="5"/>
        <w:tblW w:w="15168" w:type="dxa"/>
        <w:tblInd w:w="-459" w:type="dxa"/>
        <w:tblLayout w:type="autofit"/>
        <w:tblCellMar>
          <w:top w:w="0" w:type="dxa"/>
          <w:left w:w="108" w:type="dxa"/>
          <w:bottom w:w="0" w:type="dxa"/>
          <w:right w:w="108" w:type="dxa"/>
        </w:tblCellMar>
      </w:tblPr>
      <w:tblGrid>
        <w:gridCol w:w="2694"/>
        <w:gridCol w:w="398"/>
        <w:gridCol w:w="664"/>
        <w:gridCol w:w="213"/>
        <w:gridCol w:w="243"/>
        <w:gridCol w:w="891"/>
        <w:gridCol w:w="229"/>
        <w:gridCol w:w="89"/>
        <w:gridCol w:w="816"/>
        <w:gridCol w:w="215"/>
        <w:gridCol w:w="634"/>
        <w:gridCol w:w="285"/>
        <w:gridCol w:w="201"/>
        <w:gridCol w:w="933"/>
        <w:gridCol w:w="187"/>
        <w:gridCol w:w="59"/>
        <w:gridCol w:w="888"/>
        <w:gridCol w:w="173"/>
        <w:gridCol w:w="604"/>
        <w:gridCol w:w="216"/>
        <w:gridCol w:w="300"/>
        <w:gridCol w:w="834"/>
        <w:gridCol w:w="286"/>
        <w:gridCol w:w="29"/>
        <w:gridCol w:w="819"/>
        <w:gridCol w:w="272"/>
        <w:gridCol w:w="403"/>
        <w:gridCol w:w="459"/>
        <w:gridCol w:w="258"/>
        <w:gridCol w:w="876"/>
      </w:tblGrid>
      <w:tr>
        <w:tblPrEx>
          <w:tblCellMar>
            <w:top w:w="0" w:type="dxa"/>
            <w:left w:w="108" w:type="dxa"/>
            <w:bottom w:w="0" w:type="dxa"/>
            <w:right w:w="108" w:type="dxa"/>
          </w:tblCellMar>
        </w:tblPrEx>
        <w:trPr>
          <w:trHeight w:val="563" w:hRule="atLeast"/>
        </w:trPr>
        <w:tc>
          <w:tcPr>
            <w:tcW w:w="3756" w:type="dxa"/>
            <w:gridSpan w:val="3"/>
            <w:tcBorders>
              <w:top w:val="nil"/>
              <w:left w:val="nil"/>
              <w:bottom w:val="nil"/>
              <w:right w:val="nil"/>
            </w:tcBorders>
            <w:shd w:val="clear" w:color="auto" w:fill="auto"/>
            <w:noWrap/>
            <w:vAlign w:val="center"/>
          </w:tcPr>
          <w:p>
            <w:pPr>
              <w:widowControl/>
              <w:adjustRightInd w:val="0"/>
              <w:snapToGrid w:val="0"/>
              <w:spacing w:line="240" w:lineRule="atLeast"/>
              <w:jc w:val="left"/>
              <w:rPr>
                <w:rFonts w:ascii="黑体" w:hAnsi="黑体" w:eastAsia="黑体" w:cs="宋体"/>
                <w:kern w:val="0"/>
                <w:szCs w:val="32"/>
              </w:rPr>
            </w:pPr>
            <w:r>
              <w:rPr>
                <w:rFonts w:hint="eastAsia" w:ascii="黑体" w:hAnsi="黑体" w:eastAsia="黑体" w:cs="宋体"/>
                <w:kern w:val="0"/>
                <w:szCs w:val="32"/>
              </w:rPr>
              <w:t>附表1</w:t>
            </w:r>
          </w:p>
        </w:tc>
        <w:tc>
          <w:tcPr>
            <w:tcW w:w="1665" w:type="dxa"/>
            <w:gridSpan w:val="5"/>
            <w:tcBorders>
              <w:top w:val="nil"/>
              <w:left w:val="nil"/>
              <w:bottom w:val="nil"/>
              <w:right w:val="nil"/>
            </w:tcBorders>
            <w:shd w:val="clear" w:color="auto" w:fill="auto"/>
            <w:noWrap/>
            <w:vAlign w:val="center"/>
          </w:tcPr>
          <w:p>
            <w:pPr>
              <w:widowControl/>
              <w:adjustRightInd w:val="0"/>
              <w:snapToGrid w:val="0"/>
              <w:spacing w:line="240" w:lineRule="atLeast"/>
              <w:jc w:val="left"/>
              <w:rPr>
                <w:rFonts w:ascii="Times New Roman" w:hAnsi="Times New Roman" w:eastAsia="宋体"/>
                <w:kern w:val="0"/>
                <w:sz w:val="24"/>
                <w:szCs w:val="24"/>
              </w:rPr>
            </w:pPr>
          </w:p>
        </w:tc>
        <w:tc>
          <w:tcPr>
            <w:tcW w:w="1665" w:type="dxa"/>
            <w:gridSpan w:val="3"/>
            <w:tcBorders>
              <w:top w:val="nil"/>
              <w:left w:val="nil"/>
              <w:bottom w:val="nil"/>
              <w:right w:val="nil"/>
            </w:tcBorders>
            <w:shd w:val="clear" w:color="auto" w:fill="auto"/>
            <w:noWrap/>
            <w:vAlign w:val="center"/>
          </w:tcPr>
          <w:p>
            <w:pPr>
              <w:widowControl/>
              <w:adjustRightInd w:val="0"/>
              <w:snapToGrid w:val="0"/>
              <w:spacing w:line="240" w:lineRule="atLeast"/>
              <w:jc w:val="left"/>
              <w:rPr>
                <w:rFonts w:ascii="Times New Roman" w:hAnsi="Times New Roman" w:eastAsia="宋体"/>
                <w:kern w:val="0"/>
                <w:sz w:val="24"/>
                <w:szCs w:val="24"/>
              </w:rPr>
            </w:pPr>
          </w:p>
        </w:tc>
        <w:tc>
          <w:tcPr>
            <w:tcW w:w="1665" w:type="dxa"/>
            <w:gridSpan w:val="5"/>
            <w:tcBorders>
              <w:top w:val="nil"/>
              <w:left w:val="nil"/>
              <w:bottom w:val="nil"/>
              <w:right w:val="nil"/>
            </w:tcBorders>
            <w:shd w:val="clear" w:color="auto" w:fill="auto"/>
            <w:noWrap/>
            <w:vAlign w:val="center"/>
          </w:tcPr>
          <w:p>
            <w:pPr>
              <w:widowControl/>
              <w:adjustRightInd w:val="0"/>
              <w:snapToGrid w:val="0"/>
              <w:spacing w:line="240" w:lineRule="atLeast"/>
              <w:jc w:val="left"/>
              <w:rPr>
                <w:rFonts w:ascii="Times New Roman" w:hAnsi="Times New Roman" w:eastAsia="宋体"/>
                <w:kern w:val="0"/>
                <w:sz w:val="24"/>
                <w:szCs w:val="24"/>
              </w:rPr>
            </w:pPr>
          </w:p>
        </w:tc>
        <w:tc>
          <w:tcPr>
            <w:tcW w:w="1665" w:type="dxa"/>
            <w:gridSpan w:val="3"/>
            <w:tcBorders>
              <w:top w:val="nil"/>
              <w:left w:val="nil"/>
              <w:bottom w:val="nil"/>
              <w:right w:val="nil"/>
            </w:tcBorders>
            <w:shd w:val="clear" w:color="auto" w:fill="auto"/>
            <w:noWrap/>
            <w:vAlign w:val="center"/>
          </w:tcPr>
          <w:p>
            <w:pPr>
              <w:widowControl/>
              <w:adjustRightInd w:val="0"/>
              <w:snapToGrid w:val="0"/>
              <w:spacing w:line="240" w:lineRule="atLeast"/>
              <w:jc w:val="left"/>
              <w:rPr>
                <w:rFonts w:ascii="Times New Roman" w:hAnsi="Times New Roman" w:eastAsia="宋体"/>
                <w:kern w:val="0"/>
                <w:sz w:val="24"/>
                <w:szCs w:val="24"/>
              </w:rPr>
            </w:pPr>
          </w:p>
        </w:tc>
        <w:tc>
          <w:tcPr>
            <w:tcW w:w="1665" w:type="dxa"/>
            <w:gridSpan w:val="5"/>
            <w:tcBorders>
              <w:top w:val="nil"/>
              <w:left w:val="nil"/>
              <w:bottom w:val="nil"/>
              <w:right w:val="nil"/>
            </w:tcBorders>
            <w:shd w:val="clear" w:color="auto" w:fill="auto"/>
            <w:noWrap/>
            <w:vAlign w:val="center"/>
          </w:tcPr>
          <w:p>
            <w:pPr>
              <w:widowControl/>
              <w:adjustRightInd w:val="0"/>
              <w:snapToGrid w:val="0"/>
              <w:spacing w:line="240" w:lineRule="atLeast"/>
              <w:jc w:val="left"/>
              <w:rPr>
                <w:rFonts w:ascii="Times New Roman" w:hAnsi="Times New Roman" w:eastAsia="宋体"/>
                <w:kern w:val="0"/>
                <w:sz w:val="24"/>
                <w:szCs w:val="24"/>
              </w:rPr>
            </w:pPr>
          </w:p>
        </w:tc>
        <w:tc>
          <w:tcPr>
            <w:tcW w:w="1494" w:type="dxa"/>
            <w:gridSpan w:val="3"/>
            <w:tcBorders>
              <w:top w:val="nil"/>
              <w:left w:val="nil"/>
              <w:bottom w:val="nil"/>
              <w:right w:val="nil"/>
            </w:tcBorders>
            <w:shd w:val="clear" w:color="auto" w:fill="auto"/>
            <w:noWrap/>
            <w:vAlign w:val="center"/>
          </w:tcPr>
          <w:p>
            <w:pPr>
              <w:widowControl/>
              <w:adjustRightInd w:val="0"/>
              <w:snapToGrid w:val="0"/>
              <w:spacing w:line="240" w:lineRule="atLeast"/>
              <w:jc w:val="left"/>
              <w:rPr>
                <w:rFonts w:ascii="Times New Roman" w:hAnsi="Times New Roman" w:eastAsia="宋体"/>
                <w:kern w:val="0"/>
                <w:sz w:val="24"/>
                <w:szCs w:val="24"/>
              </w:rPr>
            </w:pPr>
          </w:p>
        </w:tc>
        <w:tc>
          <w:tcPr>
            <w:tcW w:w="1593" w:type="dxa"/>
            <w:gridSpan w:val="3"/>
            <w:tcBorders>
              <w:top w:val="nil"/>
              <w:left w:val="nil"/>
              <w:bottom w:val="nil"/>
              <w:right w:val="nil"/>
            </w:tcBorders>
            <w:shd w:val="clear" w:color="auto" w:fill="auto"/>
            <w:noWrap/>
            <w:vAlign w:val="center"/>
          </w:tcPr>
          <w:p>
            <w:pPr>
              <w:widowControl/>
              <w:adjustRightInd w:val="0"/>
              <w:snapToGrid w:val="0"/>
              <w:spacing w:line="240" w:lineRule="atLeast"/>
              <w:jc w:val="left"/>
              <w:rPr>
                <w:rFonts w:ascii="Times New Roman" w:hAnsi="Times New Roman" w:eastAsia="宋体"/>
                <w:kern w:val="0"/>
                <w:sz w:val="24"/>
                <w:szCs w:val="24"/>
              </w:rPr>
            </w:pPr>
          </w:p>
        </w:tc>
      </w:tr>
      <w:tr>
        <w:tblPrEx>
          <w:tblCellMar>
            <w:top w:w="0" w:type="dxa"/>
            <w:left w:w="108" w:type="dxa"/>
            <w:bottom w:w="0" w:type="dxa"/>
            <w:right w:w="108" w:type="dxa"/>
          </w:tblCellMar>
        </w:tblPrEx>
        <w:trPr>
          <w:trHeight w:val="504" w:hRule="atLeast"/>
        </w:trPr>
        <w:tc>
          <w:tcPr>
            <w:tcW w:w="15168" w:type="dxa"/>
            <w:gridSpan w:val="30"/>
            <w:tcBorders>
              <w:top w:val="nil"/>
              <w:left w:val="nil"/>
              <w:bottom w:val="nil"/>
              <w:right w:val="nil"/>
            </w:tcBorders>
            <w:shd w:val="clear" w:color="auto" w:fill="auto"/>
            <w:noWrap/>
            <w:vAlign w:val="center"/>
          </w:tcPr>
          <w:p>
            <w:pPr>
              <w:widowControl/>
              <w:adjustRightInd w:val="0"/>
              <w:snapToGrid w:val="0"/>
              <w:spacing w:line="240" w:lineRule="atLeast"/>
              <w:jc w:val="center"/>
              <w:rPr>
                <w:rFonts w:ascii="方正小标宋简体" w:hAnsi="华文中宋" w:eastAsia="方正小标宋简体" w:cs="宋体"/>
                <w:bCs/>
                <w:kern w:val="0"/>
                <w:sz w:val="36"/>
                <w:szCs w:val="36"/>
              </w:rPr>
            </w:pPr>
            <w:r>
              <w:rPr>
                <w:rFonts w:hint="eastAsia" w:ascii="方正小标宋简体" w:hAnsi="华文中宋" w:eastAsia="方正小标宋简体" w:cs="宋体"/>
                <w:bCs/>
                <w:kern w:val="0"/>
                <w:sz w:val="36"/>
                <w:szCs w:val="36"/>
              </w:rPr>
              <w:t>2015年XX月份农业部门查办案件统计表</w:t>
            </w:r>
          </w:p>
        </w:tc>
      </w:tr>
      <w:tr>
        <w:tblPrEx>
          <w:tblCellMar>
            <w:top w:w="0" w:type="dxa"/>
            <w:left w:w="108" w:type="dxa"/>
            <w:bottom w:w="0" w:type="dxa"/>
            <w:right w:w="108" w:type="dxa"/>
          </w:tblCellMar>
        </w:tblPrEx>
        <w:trPr>
          <w:trHeight w:val="540" w:hRule="atLeast"/>
        </w:trPr>
        <w:tc>
          <w:tcPr>
            <w:tcW w:w="12081" w:type="dxa"/>
            <w:gridSpan w:val="24"/>
            <w:tcBorders>
              <w:top w:val="nil"/>
              <w:left w:val="nil"/>
              <w:bottom w:val="nil"/>
              <w:right w:val="nil"/>
            </w:tcBorders>
            <w:shd w:val="clear" w:color="auto" w:fill="auto"/>
            <w:noWrap/>
            <w:vAlign w:val="center"/>
          </w:tcPr>
          <w:p>
            <w:pPr>
              <w:widowControl/>
              <w:adjustRightInd w:val="0"/>
              <w:snapToGrid w:val="0"/>
              <w:spacing w:line="240" w:lineRule="atLeast"/>
              <w:jc w:val="left"/>
              <w:rPr>
                <w:rFonts w:ascii="仿宋_GB2312" w:hAnsi="宋体" w:cs="宋体"/>
                <w:kern w:val="0"/>
                <w:sz w:val="24"/>
                <w:szCs w:val="24"/>
              </w:rPr>
            </w:pPr>
            <w:r>
              <w:rPr>
                <w:rFonts w:hint="eastAsia" w:ascii="仿宋_GB2312" w:hAnsi="宋体" w:cs="宋体"/>
                <w:kern w:val="0"/>
                <w:sz w:val="24"/>
                <w:szCs w:val="24"/>
              </w:rPr>
              <w:t>填报单位：（加盖公章）</w:t>
            </w:r>
          </w:p>
        </w:tc>
        <w:tc>
          <w:tcPr>
            <w:tcW w:w="3087" w:type="dxa"/>
            <w:gridSpan w:val="6"/>
            <w:tcBorders>
              <w:top w:val="nil"/>
              <w:left w:val="nil"/>
              <w:bottom w:val="single" w:color="auto" w:sz="4" w:space="0"/>
              <w:right w:val="nil"/>
            </w:tcBorders>
            <w:shd w:val="clear" w:color="auto" w:fill="auto"/>
            <w:noWrap/>
            <w:vAlign w:val="center"/>
          </w:tcPr>
          <w:p>
            <w:pPr>
              <w:widowControl/>
              <w:adjustRightInd w:val="0"/>
              <w:snapToGrid w:val="0"/>
              <w:spacing w:line="240" w:lineRule="atLeast"/>
              <w:jc w:val="left"/>
              <w:rPr>
                <w:rFonts w:ascii="仿宋_GB2312" w:hAnsi="宋体" w:cs="宋体"/>
                <w:kern w:val="0"/>
                <w:sz w:val="24"/>
                <w:szCs w:val="24"/>
              </w:rPr>
            </w:pPr>
            <w:r>
              <w:rPr>
                <w:rFonts w:hint="eastAsia" w:ascii="仿宋_GB2312" w:hAnsi="宋体" w:cs="宋体"/>
                <w:kern w:val="0"/>
                <w:sz w:val="24"/>
                <w:szCs w:val="24"/>
              </w:rPr>
              <w:t>填报时间：</w:t>
            </w:r>
          </w:p>
        </w:tc>
      </w:tr>
      <w:tr>
        <w:tblPrEx>
          <w:tblCellMar>
            <w:top w:w="0" w:type="dxa"/>
            <w:left w:w="108" w:type="dxa"/>
            <w:bottom w:w="0" w:type="dxa"/>
            <w:right w:w="108" w:type="dxa"/>
          </w:tblCellMar>
        </w:tblPrEx>
        <w:trPr>
          <w:trHeight w:val="353" w:hRule="atLeast"/>
        </w:trPr>
        <w:tc>
          <w:tcPr>
            <w:tcW w:w="3756"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tLeast"/>
              <w:jc w:val="center"/>
              <w:rPr>
                <w:rFonts w:ascii="黑体" w:hAnsi="黑体" w:eastAsia="黑体" w:cs="宋体"/>
                <w:kern w:val="0"/>
                <w:sz w:val="24"/>
                <w:szCs w:val="24"/>
              </w:rPr>
            </w:pPr>
            <w:r>
              <w:rPr>
                <w:rFonts w:hint="eastAsia" w:ascii="黑体" w:hAnsi="黑体" w:eastAsia="黑体" w:cs="宋体"/>
                <w:kern w:val="0"/>
                <w:sz w:val="24"/>
                <w:szCs w:val="24"/>
              </w:rPr>
              <w:t>案件类型</w:t>
            </w:r>
          </w:p>
        </w:tc>
        <w:tc>
          <w:tcPr>
            <w:tcW w:w="4995" w:type="dxa"/>
            <w:gridSpan w:val="13"/>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240" w:lineRule="atLeast"/>
              <w:jc w:val="center"/>
              <w:rPr>
                <w:rFonts w:ascii="黑体" w:hAnsi="黑体" w:eastAsia="黑体" w:cs="宋体"/>
                <w:kern w:val="0"/>
                <w:sz w:val="24"/>
                <w:szCs w:val="24"/>
              </w:rPr>
            </w:pPr>
            <w:r>
              <w:rPr>
                <w:rFonts w:hint="eastAsia" w:ascii="黑体" w:hAnsi="黑体" w:eastAsia="黑体" w:cs="宋体"/>
                <w:kern w:val="0"/>
                <w:sz w:val="24"/>
                <w:szCs w:val="24"/>
              </w:rPr>
              <w:t>行政执法案件</w:t>
            </w:r>
          </w:p>
        </w:tc>
        <w:tc>
          <w:tcPr>
            <w:tcW w:w="3330" w:type="dxa"/>
            <w:gridSpan w:val="8"/>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240" w:lineRule="atLeast"/>
              <w:jc w:val="center"/>
              <w:rPr>
                <w:rFonts w:ascii="黑体" w:hAnsi="黑体" w:eastAsia="黑体" w:cs="宋体"/>
                <w:kern w:val="0"/>
                <w:sz w:val="24"/>
                <w:szCs w:val="24"/>
              </w:rPr>
            </w:pPr>
            <w:r>
              <w:rPr>
                <w:rFonts w:hint="eastAsia" w:ascii="黑体" w:hAnsi="黑体" w:eastAsia="黑体" w:cs="宋体"/>
                <w:kern w:val="0"/>
                <w:sz w:val="24"/>
                <w:szCs w:val="24"/>
              </w:rPr>
              <w:t>移送司法机关案件</w:t>
            </w:r>
          </w:p>
        </w:tc>
        <w:tc>
          <w:tcPr>
            <w:tcW w:w="1494" w:type="dxa"/>
            <w:gridSpan w:val="3"/>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tLeast"/>
              <w:jc w:val="center"/>
              <w:rPr>
                <w:rFonts w:ascii="黑体" w:hAnsi="黑体" w:eastAsia="黑体" w:cs="宋体"/>
                <w:kern w:val="0"/>
                <w:sz w:val="24"/>
                <w:szCs w:val="24"/>
              </w:rPr>
            </w:pPr>
            <w:r>
              <w:rPr>
                <w:rFonts w:hint="eastAsia" w:ascii="黑体" w:hAnsi="黑体" w:eastAsia="黑体" w:cs="宋体"/>
                <w:kern w:val="0"/>
                <w:sz w:val="24"/>
                <w:szCs w:val="24"/>
              </w:rPr>
              <w:t>捣毁窝点（个）</w:t>
            </w:r>
          </w:p>
        </w:tc>
        <w:tc>
          <w:tcPr>
            <w:tcW w:w="1593" w:type="dxa"/>
            <w:gridSpan w:val="3"/>
            <w:vMerge w:val="restart"/>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tLeast"/>
              <w:jc w:val="center"/>
              <w:rPr>
                <w:rFonts w:ascii="黑体" w:hAnsi="黑体" w:eastAsia="黑体" w:cs="宋体"/>
                <w:kern w:val="0"/>
                <w:sz w:val="24"/>
                <w:szCs w:val="24"/>
              </w:rPr>
            </w:pPr>
            <w:r>
              <w:rPr>
                <w:rFonts w:hint="eastAsia" w:ascii="黑体" w:hAnsi="黑体" w:eastAsia="黑体" w:cs="宋体"/>
                <w:kern w:val="0"/>
                <w:sz w:val="24"/>
                <w:szCs w:val="24"/>
              </w:rPr>
              <w:t>案件信息</w:t>
            </w:r>
          </w:p>
          <w:p>
            <w:pPr>
              <w:widowControl/>
              <w:adjustRightInd w:val="0"/>
              <w:snapToGrid w:val="0"/>
              <w:spacing w:line="240" w:lineRule="atLeast"/>
              <w:jc w:val="center"/>
              <w:rPr>
                <w:rFonts w:ascii="黑体" w:hAnsi="黑体" w:eastAsia="黑体" w:cs="宋体"/>
                <w:kern w:val="0"/>
                <w:sz w:val="24"/>
                <w:szCs w:val="24"/>
              </w:rPr>
            </w:pPr>
            <w:r>
              <w:rPr>
                <w:rFonts w:hint="eastAsia" w:ascii="黑体" w:hAnsi="黑体" w:eastAsia="黑体" w:cs="宋体"/>
                <w:kern w:val="0"/>
                <w:sz w:val="24"/>
                <w:szCs w:val="24"/>
              </w:rPr>
              <w:t>公开（件）</w:t>
            </w:r>
          </w:p>
        </w:tc>
      </w:tr>
      <w:tr>
        <w:tblPrEx>
          <w:tblCellMar>
            <w:top w:w="0" w:type="dxa"/>
            <w:left w:w="108" w:type="dxa"/>
            <w:bottom w:w="0" w:type="dxa"/>
            <w:right w:w="108" w:type="dxa"/>
          </w:tblCellMar>
        </w:tblPrEx>
        <w:trPr>
          <w:trHeight w:val="415" w:hRule="atLeast"/>
        </w:trPr>
        <w:tc>
          <w:tcPr>
            <w:tcW w:w="375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left"/>
              <w:rPr>
                <w:rFonts w:ascii="黑体" w:hAnsi="黑体" w:eastAsia="黑体" w:cs="宋体"/>
                <w:kern w:val="0"/>
                <w:sz w:val="24"/>
                <w:szCs w:val="24"/>
              </w:rPr>
            </w:pPr>
          </w:p>
        </w:tc>
        <w:tc>
          <w:tcPr>
            <w:tcW w:w="1665" w:type="dxa"/>
            <w:gridSpan w:val="5"/>
            <w:tcBorders>
              <w:top w:val="nil"/>
              <w:left w:val="nil"/>
              <w:bottom w:val="nil"/>
              <w:right w:val="single" w:color="auto" w:sz="4" w:space="0"/>
            </w:tcBorders>
            <w:shd w:val="clear" w:color="auto" w:fill="auto"/>
            <w:vAlign w:val="center"/>
          </w:tcPr>
          <w:p>
            <w:pPr>
              <w:widowControl/>
              <w:adjustRightInd w:val="0"/>
              <w:snapToGrid w:val="0"/>
              <w:spacing w:line="240" w:lineRule="atLeast"/>
              <w:jc w:val="center"/>
              <w:rPr>
                <w:rFonts w:ascii="黑体" w:hAnsi="黑体" w:eastAsia="黑体" w:cs="宋体"/>
                <w:kern w:val="0"/>
                <w:sz w:val="24"/>
                <w:szCs w:val="24"/>
              </w:rPr>
            </w:pPr>
            <w:r>
              <w:rPr>
                <w:rFonts w:hint="eastAsia" w:ascii="黑体" w:hAnsi="黑体" w:eastAsia="黑体" w:cs="宋体"/>
                <w:kern w:val="0"/>
                <w:sz w:val="24"/>
                <w:szCs w:val="24"/>
              </w:rPr>
              <w:t>立案件数</w:t>
            </w:r>
          </w:p>
        </w:tc>
        <w:tc>
          <w:tcPr>
            <w:tcW w:w="1665" w:type="dxa"/>
            <w:gridSpan w:val="3"/>
            <w:tcBorders>
              <w:top w:val="nil"/>
              <w:left w:val="nil"/>
              <w:bottom w:val="nil"/>
              <w:right w:val="single" w:color="auto" w:sz="4" w:space="0"/>
            </w:tcBorders>
            <w:shd w:val="clear" w:color="auto" w:fill="auto"/>
            <w:vAlign w:val="center"/>
          </w:tcPr>
          <w:p>
            <w:pPr>
              <w:widowControl/>
              <w:adjustRightInd w:val="0"/>
              <w:snapToGrid w:val="0"/>
              <w:spacing w:line="240" w:lineRule="atLeast"/>
              <w:jc w:val="center"/>
              <w:rPr>
                <w:rFonts w:ascii="黑体" w:hAnsi="黑体" w:eastAsia="黑体" w:cs="宋体"/>
                <w:kern w:val="0"/>
                <w:sz w:val="24"/>
                <w:szCs w:val="24"/>
              </w:rPr>
            </w:pPr>
            <w:r>
              <w:rPr>
                <w:rFonts w:hint="eastAsia" w:ascii="黑体" w:hAnsi="黑体" w:eastAsia="黑体" w:cs="宋体"/>
                <w:kern w:val="0"/>
                <w:sz w:val="24"/>
                <w:szCs w:val="24"/>
              </w:rPr>
              <w:t>办结件数</w:t>
            </w:r>
          </w:p>
        </w:tc>
        <w:tc>
          <w:tcPr>
            <w:tcW w:w="1665" w:type="dxa"/>
            <w:gridSpan w:val="5"/>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tLeast"/>
              <w:jc w:val="center"/>
              <w:rPr>
                <w:rFonts w:ascii="黑体" w:hAnsi="黑体" w:eastAsia="黑体" w:cs="宋体"/>
                <w:kern w:val="0"/>
                <w:sz w:val="24"/>
                <w:szCs w:val="24"/>
              </w:rPr>
            </w:pPr>
            <w:r>
              <w:rPr>
                <w:rFonts w:hint="eastAsia" w:ascii="黑体" w:hAnsi="黑体" w:eastAsia="黑体" w:cs="宋体"/>
                <w:kern w:val="0"/>
                <w:sz w:val="24"/>
                <w:szCs w:val="24"/>
              </w:rPr>
              <w:t>金  额     （万元）</w:t>
            </w:r>
          </w:p>
        </w:tc>
        <w:tc>
          <w:tcPr>
            <w:tcW w:w="1665" w:type="dxa"/>
            <w:gridSpan w:val="3"/>
            <w:tcBorders>
              <w:top w:val="nil"/>
              <w:left w:val="nil"/>
              <w:bottom w:val="nil"/>
              <w:right w:val="single" w:color="auto" w:sz="4" w:space="0"/>
            </w:tcBorders>
            <w:shd w:val="clear" w:color="auto" w:fill="auto"/>
            <w:vAlign w:val="center"/>
          </w:tcPr>
          <w:p>
            <w:pPr>
              <w:widowControl/>
              <w:adjustRightInd w:val="0"/>
              <w:snapToGrid w:val="0"/>
              <w:spacing w:line="240" w:lineRule="atLeast"/>
              <w:jc w:val="center"/>
              <w:rPr>
                <w:rFonts w:ascii="黑体" w:hAnsi="黑体" w:eastAsia="黑体" w:cs="宋体"/>
                <w:kern w:val="0"/>
                <w:sz w:val="24"/>
                <w:szCs w:val="24"/>
              </w:rPr>
            </w:pPr>
            <w:r>
              <w:rPr>
                <w:rFonts w:hint="eastAsia" w:ascii="黑体" w:hAnsi="黑体" w:eastAsia="黑体" w:cs="宋体"/>
                <w:kern w:val="0"/>
                <w:sz w:val="24"/>
                <w:szCs w:val="24"/>
              </w:rPr>
              <w:t>件  数</w:t>
            </w:r>
          </w:p>
        </w:tc>
        <w:tc>
          <w:tcPr>
            <w:tcW w:w="1665" w:type="dxa"/>
            <w:gridSpan w:val="5"/>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tLeast"/>
              <w:jc w:val="center"/>
              <w:rPr>
                <w:rFonts w:ascii="黑体" w:hAnsi="黑体" w:eastAsia="黑体" w:cs="宋体"/>
                <w:kern w:val="0"/>
                <w:sz w:val="24"/>
                <w:szCs w:val="24"/>
              </w:rPr>
            </w:pPr>
            <w:r>
              <w:rPr>
                <w:rFonts w:hint="eastAsia" w:ascii="黑体" w:hAnsi="黑体" w:eastAsia="黑体" w:cs="宋体"/>
                <w:kern w:val="0"/>
                <w:sz w:val="24"/>
                <w:szCs w:val="24"/>
              </w:rPr>
              <w:t>金  额     （万元）</w:t>
            </w:r>
          </w:p>
        </w:tc>
        <w:tc>
          <w:tcPr>
            <w:tcW w:w="1494" w:type="dxa"/>
            <w:gridSpan w:val="3"/>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tLeast"/>
              <w:jc w:val="left"/>
              <w:rPr>
                <w:rFonts w:ascii="黑体" w:hAnsi="黑体" w:eastAsia="黑体" w:cs="宋体"/>
                <w:kern w:val="0"/>
                <w:sz w:val="24"/>
                <w:szCs w:val="24"/>
              </w:rPr>
            </w:pPr>
          </w:p>
        </w:tc>
        <w:tc>
          <w:tcPr>
            <w:tcW w:w="1593" w:type="dxa"/>
            <w:gridSpan w:val="3"/>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240" w:lineRule="atLeast"/>
              <w:jc w:val="left"/>
              <w:rPr>
                <w:rFonts w:ascii="黑体" w:hAnsi="黑体" w:eastAsia="黑体" w:cs="宋体"/>
                <w:kern w:val="0"/>
                <w:sz w:val="24"/>
                <w:szCs w:val="24"/>
              </w:rPr>
            </w:pPr>
          </w:p>
        </w:tc>
      </w:tr>
      <w:tr>
        <w:tblPrEx>
          <w:tblCellMar>
            <w:top w:w="0" w:type="dxa"/>
            <w:left w:w="108" w:type="dxa"/>
            <w:bottom w:w="0" w:type="dxa"/>
            <w:right w:w="108" w:type="dxa"/>
          </w:tblCellMar>
        </w:tblPrEx>
        <w:trPr>
          <w:trHeight w:val="623" w:hRule="atLeast"/>
        </w:trPr>
        <w:tc>
          <w:tcPr>
            <w:tcW w:w="3756" w:type="dxa"/>
            <w:gridSpan w:val="3"/>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tLeast"/>
              <w:jc w:val="center"/>
              <w:rPr>
                <w:rFonts w:ascii="宋体" w:hAnsi="宋体" w:eastAsia="宋体" w:cs="宋体"/>
                <w:kern w:val="0"/>
                <w:sz w:val="24"/>
                <w:szCs w:val="24"/>
              </w:rPr>
            </w:pPr>
            <w:r>
              <w:rPr>
                <w:rFonts w:hint="eastAsia" w:ascii="宋体" w:hAnsi="宋体" w:eastAsia="宋体" w:cs="宋体"/>
                <w:kern w:val="0"/>
                <w:sz w:val="24"/>
                <w:szCs w:val="24"/>
              </w:rPr>
              <w:t>农药及农药使用专项整治行动</w:t>
            </w:r>
          </w:p>
        </w:tc>
        <w:tc>
          <w:tcPr>
            <w:tcW w:w="1665" w:type="dxa"/>
            <w:gridSpan w:val="5"/>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240" w:lineRule="atLeast"/>
              <w:rPr>
                <w:rFonts w:ascii="宋体" w:hAnsi="宋体" w:eastAsia="宋体" w:cs="宋体"/>
                <w:kern w:val="0"/>
                <w:sz w:val="24"/>
                <w:szCs w:val="24"/>
              </w:rPr>
            </w:pPr>
            <w:r>
              <w:rPr>
                <w:rFonts w:hint="eastAsia" w:ascii="宋体" w:hAnsi="宋体" w:eastAsia="宋体" w:cs="宋体"/>
                <w:kern w:val="0"/>
                <w:sz w:val="24"/>
                <w:szCs w:val="24"/>
              </w:rPr>
              <w:t>　</w:t>
            </w:r>
          </w:p>
        </w:tc>
        <w:tc>
          <w:tcPr>
            <w:tcW w:w="1665" w:type="dxa"/>
            <w:gridSpan w:val="3"/>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240" w:lineRule="atLeast"/>
              <w:rPr>
                <w:rFonts w:ascii="宋体" w:hAnsi="宋体" w:eastAsia="宋体" w:cs="宋体"/>
                <w:kern w:val="0"/>
                <w:sz w:val="24"/>
                <w:szCs w:val="24"/>
              </w:rPr>
            </w:pPr>
            <w:r>
              <w:rPr>
                <w:rFonts w:hint="eastAsia" w:ascii="宋体" w:hAnsi="宋体" w:eastAsia="宋体" w:cs="宋体"/>
                <w:kern w:val="0"/>
                <w:sz w:val="24"/>
                <w:szCs w:val="24"/>
              </w:rPr>
              <w:t>　</w:t>
            </w:r>
          </w:p>
        </w:tc>
        <w:tc>
          <w:tcPr>
            <w:tcW w:w="1665" w:type="dxa"/>
            <w:gridSpan w:val="5"/>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tLeast"/>
              <w:rPr>
                <w:rFonts w:ascii="宋体" w:hAnsi="宋体" w:eastAsia="宋体" w:cs="宋体"/>
                <w:kern w:val="0"/>
                <w:sz w:val="24"/>
                <w:szCs w:val="24"/>
              </w:rPr>
            </w:pPr>
            <w:r>
              <w:rPr>
                <w:rFonts w:hint="eastAsia" w:ascii="宋体" w:hAnsi="宋体" w:eastAsia="宋体" w:cs="宋体"/>
                <w:kern w:val="0"/>
                <w:sz w:val="24"/>
                <w:szCs w:val="24"/>
              </w:rPr>
              <w:t>　</w:t>
            </w:r>
          </w:p>
        </w:tc>
        <w:tc>
          <w:tcPr>
            <w:tcW w:w="1665" w:type="dxa"/>
            <w:gridSpan w:val="3"/>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spacing w:line="240" w:lineRule="atLeast"/>
              <w:rPr>
                <w:rFonts w:ascii="宋体" w:hAnsi="宋体" w:eastAsia="宋体" w:cs="宋体"/>
                <w:kern w:val="0"/>
                <w:sz w:val="24"/>
                <w:szCs w:val="24"/>
              </w:rPr>
            </w:pPr>
            <w:r>
              <w:rPr>
                <w:rFonts w:hint="eastAsia" w:ascii="宋体" w:hAnsi="宋体" w:eastAsia="宋体" w:cs="宋体"/>
                <w:kern w:val="0"/>
                <w:sz w:val="24"/>
                <w:szCs w:val="24"/>
              </w:rPr>
              <w:t>　</w:t>
            </w:r>
          </w:p>
        </w:tc>
        <w:tc>
          <w:tcPr>
            <w:tcW w:w="1665" w:type="dxa"/>
            <w:gridSpan w:val="5"/>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tLeast"/>
              <w:rPr>
                <w:rFonts w:ascii="宋体" w:hAnsi="宋体" w:eastAsia="宋体" w:cs="宋体"/>
                <w:kern w:val="0"/>
                <w:sz w:val="24"/>
                <w:szCs w:val="24"/>
              </w:rPr>
            </w:pPr>
            <w:r>
              <w:rPr>
                <w:rFonts w:hint="eastAsia" w:ascii="宋体" w:hAnsi="宋体" w:eastAsia="宋体" w:cs="宋体"/>
                <w:kern w:val="0"/>
                <w:sz w:val="24"/>
                <w:szCs w:val="24"/>
              </w:rPr>
              <w:t>　</w:t>
            </w:r>
          </w:p>
        </w:tc>
        <w:tc>
          <w:tcPr>
            <w:tcW w:w="1494" w:type="dxa"/>
            <w:gridSpan w:val="3"/>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tLeast"/>
              <w:rPr>
                <w:rFonts w:ascii="宋体" w:hAnsi="宋体" w:eastAsia="宋体" w:cs="宋体"/>
                <w:kern w:val="0"/>
                <w:sz w:val="24"/>
                <w:szCs w:val="24"/>
              </w:rPr>
            </w:pPr>
            <w:r>
              <w:rPr>
                <w:rFonts w:hint="eastAsia" w:ascii="宋体" w:hAnsi="宋体" w:eastAsia="宋体" w:cs="宋体"/>
                <w:kern w:val="0"/>
                <w:sz w:val="24"/>
                <w:szCs w:val="24"/>
              </w:rPr>
              <w:t>　</w:t>
            </w:r>
          </w:p>
        </w:tc>
        <w:tc>
          <w:tcPr>
            <w:tcW w:w="1593" w:type="dxa"/>
            <w:gridSpan w:val="3"/>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tLeas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623" w:hRule="atLeast"/>
        </w:trPr>
        <w:tc>
          <w:tcPr>
            <w:tcW w:w="3756" w:type="dxa"/>
            <w:gridSpan w:val="3"/>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tLeast"/>
              <w:jc w:val="center"/>
              <w:rPr>
                <w:rFonts w:ascii="宋体" w:hAnsi="宋体" w:eastAsia="宋体" w:cs="宋体"/>
                <w:kern w:val="0"/>
                <w:sz w:val="24"/>
                <w:szCs w:val="24"/>
              </w:rPr>
            </w:pPr>
            <w:r>
              <w:rPr>
                <w:rFonts w:hint="eastAsia" w:ascii="宋体" w:hAnsi="宋体" w:eastAsia="宋体" w:cs="宋体"/>
                <w:kern w:val="0"/>
                <w:sz w:val="24"/>
                <w:szCs w:val="24"/>
              </w:rPr>
              <w:t>“瘦肉精”专项整治行动</w:t>
            </w:r>
          </w:p>
        </w:tc>
        <w:tc>
          <w:tcPr>
            <w:tcW w:w="1665" w:type="dxa"/>
            <w:gridSpan w:val="5"/>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tLeast"/>
              <w:rPr>
                <w:rFonts w:ascii="宋体" w:hAnsi="宋体" w:eastAsia="宋体" w:cs="宋体"/>
                <w:kern w:val="0"/>
                <w:sz w:val="24"/>
                <w:szCs w:val="24"/>
              </w:rPr>
            </w:pPr>
            <w:r>
              <w:rPr>
                <w:rFonts w:hint="eastAsia" w:ascii="宋体" w:hAnsi="宋体" w:eastAsia="宋体" w:cs="宋体"/>
                <w:kern w:val="0"/>
                <w:sz w:val="24"/>
                <w:szCs w:val="24"/>
              </w:rPr>
              <w:t>　</w:t>
            </w:r>
          </w:p>
        </w:tc>
        <w:tc>
          <w:tcPr>
            <w:tcW w:w="1665" w:type="dxa"/>
            <w:gridSpan w:val="3"/>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tLeast"/>
              <w:rPr>
                <w:rFonts w:ascii="宋体" w:hAnsi="宋体" w:eastAsia="宋体" w:cs="宋体"/>
                <w:kern w:val="0"/>
                <w:sz w:val="24"/>
                <w:szCs w:val="24"/>
              </w:rPr>
            </w:pPr>
            <w:r>
              <w:rPr>
                <w:rFonts w:hint="eastAsia" w:ascii="宋体" w:hAnsi="宋体" w:eastAsia="宋体" w:cs="宋体"/>
                <w:kern w:val="0"/>
                <w:sz w:val="24"/>
                <w:szCs w:val="24"/>
              </w:rPr>
              <w:t>　</w:t>
            </w:r>
          </w:p>
        </w:tc>
        <w:tc>
          <w:tcPr>
            <w:tcW w:w="1665" w:type="dxa"/>
            <w:gridSpan w:val="5"/>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tLeast"/>
              <w:rPr>
                <w:rFonts w:ascii="宋体" w:hAnsi="宋体" w:eastAsia="宋体" w:cs="宋体"/>
                <w:kern w:val="0"/>
                <w:sz w:val="24"/>
                <w:szCs w:val="24"/>
              </w:rPr>
            </w:pPr>
            <w:r>
              <w:rPr>
                <w:rFonts w:hint="eastAsia" w:ascii="宋体" w:hAnsi="宋体" w:eastAsia="宋体" w:cs="宋体"/>
                <w:kern w:val="0"/>
                <w:sz w:val="24"/>
                <w:szCs w:val="24"/>
              </w:rPr>
              <w:t>　</w:t>
            </w:r>
          </w:p>
        </w:tc>
        <w:tc>
          <w:tcPr>
            <w:tcW w:w="1665" w:type="dxa"/>
            <w:gridSpan w:val="3"/>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tLeast"/>
              <w:rPr>
                <w:rFonts w:ascii="宋体" w:hAnsi="宋体" w:eastAsia="宋体" w:cs="宋体"/>
                <w:kern w:val="0"/>
                <w:sz w:val="24"/>
                <w:szCs w:val="24"/>
              </w:rPr>
            </w:pPr>
            <w:r>
              <w:rPr>
                <w:rFonts w:hint="eastAsia" w:ascii="宋体" w:hAnsi="宋体" w:eastAsia="宋体" w:cs="宋体"/>
                <w:kern w:val="0"/>
                <w:sz w:val="24"/>
                <w:szCs w:val="24"/>
              </w:rPr>
              <w:t>　</w:t>
            </w:r>
          </w:p>
        </w:tc>
        <w:tc>
          <w:tcPr>
            <w:tcW w:w="1665" w:type="dxa"/>
            <w:gridSpan w:val="5"/>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tLeast"/>
              <w:rPr>
                <w:rFonts w:ascii="宋体" w:hAnsi="宋体" w:eastAsia="宋体" w:cs="宋体"/>
                <w:kern w:val="0"/>
                <w:sz w:val="24"/>
                <w:szCs w:val="24"/>
              </w:rPr>
            </w:pPr>
            <w:r>
              <w:rPr>
                <w:rFonts w:hint="eastAsia" w:ascii="宋体" w:hAnsi="宋体" w:eastAsia="宋体" w:cs="宋体"/>
                <w:kern w:val="0"/>
                <w:sz w:val="24"/>
                <w:szCs w:val="24"/>
              </w:rPr>
              <w:t>　</w:t>
            </w:r>
          </w:p>
        </w:tc>
        <w:tc>
          <w:tcPr>
            <w:tcW w:w="1494" w:type="dxa"/>
            <w:gridSpan w:val="3"/>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tLeast"/>
              <w:rPr>
                <w:rFonts w:ascii="宋体" w:hAnsi="宋体" w:eastAsia="宋体" w:cs="宋体"/>
                <w:kern w:val="0"/>
                <w:sz w:val="24"/>
                <w:szCs w:val="24"/>
              </w:rPr>
            </w:pPr>
            <w:r>
              <w:rPr>
                <w:rFonts w:hint="eastAsia" w:ascii="宋体" w:hAnsi="宋体" w:eastAsia="宋体" w:cs="宋体"/>
                <w:kern w:val="0"/>
                <w:sz w:val="24"/>
                <w:szCs w:val="24"/>
              </w:rPr>
              <w:t>　</w:t>
            </w:r>
          </w:p>
        </w:tc>
        <w:tc>
          <w:tcPr>
            <w:tcW w:w="1593" w:type="dxa"/>
            <w:gridSpan w:val="3"/>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tLeas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623" w:hRule="atLeast"/>
        </w:trPr>
        <w:tc>
          <w:tcPr>
            <w:tcW w:w="3756" w:type="dxa"/>
            <w:gridSpan w:val="3"/>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tLeast"/>
              <w:jc w:val="center"/>
              <w:rPr>
                <w:rFonts w:ascii="宋体" w:hAnsi="宋体" w:eastAsia="宋体" w:cs="宋体"/>
                <w:kern w:val="0"/>
                <w:sz w:val="24"/>
                <w:szCs w:val="24"/>
              </w:rPr>
            </w:pPr>
            <w:r>
              <w:rPr>
                <w:rFonts w:hint="eastAsia" w:ascii="宋体" w:hAnsi="宋体" w:eastAsia="宋体" w:cs="宋体"/>
                <w:kern w:val="0"/>
                <w:sz w:val="24"/>
                <w:szCs w:val="24"/>
              </w:rPr>
              <w:t>生鲜乳违禁物质专项整治行动</w:t>
            </w:r>
          </w:p>
        </w:tc>
        <w:tc>
          <w:tcPr>
            <w:tcW w:w="1665" w:type="dxa"/>
            <w:gridSpan w:val="5"/>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tLeast"/>
              <w:rPr>
                <w:rFonts w:ascii="宋体" w:hAnsi="宋体" w:eastAsia="宋体" w:cs="宋体"/>
                <w:kern w:val="0"/>
                <w:sz w:val="24"/>
                <w:szCs w:val="24"/>
              </w:rPr>
            </w:pPr>
            <w:r>
              <w:rPr>
                <w:rFonts w:hint="eastAsia" w:ascii="宋体" w:hAnsi="宋体" w:eastAsia="宋体" w:cs="宋体"/>
                <w:kern w:val="0"/>
                <w:sz w:val="24"/>
                <w:szCs w:val="24"/>
              </w:rPr>
              <w:t>　</w:t>
            </w:r>
          </w:p>
        </w:tc>
        <w:tc>
          <w:tcPr>
            <w:tcW w:w="1665" w:type="dxa"/>
            <w:gridSpan w:val="3"/>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tLeast"/>
              <w:rPr>
                <w:rFonts w:ascii="宋体" w:hAnsi="宋体" w:eastAsia="宋体" w:cs="宋体"/>
                <w:kern w:val="0"/>
                <w:sz w:val="24"/>
                <w:szCs w:val="24"/>
              </w:rPr>
            </w:pPr>
            <w:r>
              <w:rPr>
                <w:rFonts w:hint="eastAsia" w:ascii="宋体" w:hAnsi="宋体" w:eastAsia="宋体" w:cs="宋体"/>
                <w:kern w:val="0"/>
                <w:sz w:val="24"/>
                <w:szCs w:val="24"/>
              </w:rPr>
              <w:t>　</w:t>
            </w:r>
          </w:p>
        </w:tc>
        <w:tc>
          <w:tcPr>
            <w:tcW w:w="1665" w:type="dxa"/>
            <w:gridSpan w:val="5"/>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tLeast"/>
              <w:rPr>
                <w:rFonts w:ascii="宋体" w:hAnsi="宋体" w:eastAsia="宋体" w:cs="宋体"/>
                <w:kern w:val="0"/>
                <w:sz w:val="24"/>
                <w:szCs w:val="24"/>
              </w:rPr>
            </w:pPr>
            <w:r>
              <w:rPr>
                <w:rFonts w:hint="eastAsia" w:ascii="宋体" w:hAnsi="宋体" w:eastAsia="宋体" w:cs="宋体"/>
                <w:kern w:val="0"/>
                <w:sz w:val="24"/>
                <w:szCs w:val="24"/>
              </w:rPr>
              <w:t>　</w:t>
            </w:r>
          </w:p>
        </w:tc>
        <w:tc>
          <w:tcPr>
            <w:tcW w:w="1665" w:type="dxa"/>
            <w:gridSpan w:val="3"/>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tLeast"/>
              <w:rPr>
                <w:rFonts w:ascii="宋体" w:hAnsi="宋体" w:eastAsia="宋体" w:cs="宋体"/>
                <w:kern w:val="0"/>
                <w:sz w:val="24"/>
                <w:szCs w:val="24"/>
              </w:rPr>
            </w:pPr>
            <w:r>
              <w:rPr>
                <w:rFonts w:hint="eastAsia" w:ascii="宋体" w:hAnsi="宋体" w:eastAsia="宋体" w:cs="宋体"/>
                <w:kern w:val="0"/>
                <w:sz w:val="24"/>
                <w:szCs w:val="24"/>
              </w:rPr>
              <w:t>　</w:t>
            </w:r>
          </w:p>
        </w:tc>
        <w:tc>
          <w:tcPr>
            <w:tcW w:w="1665" w:type="dxa"/>
            <w:gridSpan w:val="5"/>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tLeast"/>
              <w:rPr>
                <w:rFonts w:ascii="宋体" w:hAnsi="宋体" w:eastAsia="宋体" w:cs="宋体"/>
                <w:kern w:val="0"/>
                <w:sz w:val="24"/>
                <w:szCs w:val="24"/>
              </w:rPr>
            </w:pPr>
            <w:r>
              <w:rPr>
                <w:rFonts w:hint="eastAsia" w:ascii="宋体" w:hAnsi="宋体" w:eastAsia="宋体" w:cs="宋体"/>
                <w:kern w:val="0"/>
                <w:sz w:val="24"/>
                <w:szCs w:val="24"/>
              </w:rPr>
              <w:t>　</w:t>
            </w:r>
          </w:p>
        </w:tc>
        <w:tc>
          <w:tcPr>
            <w:tcW w:w="1494" w:type="dxa"/>
            <w:gridSpan w:val="3"/>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tLeast"/>
              <w:rPr>
                <w:rFonts w:ascii="宋体" w:hAnsi="宋体" w:eastAsia="宋体" w:cs="宋体"/>
                <w:kern w:val="0"/>
                <w:sz w:val="24"/>
                <w:szCs w:val="24"/>
              </w:rPr>
            </w:pPr>
            <w:r>
              <w:rPr>
                <w:rFonts w:hint="eastAsia" w:ascii="宋体" w:hAnsi="宋体" w:eastAsia="宋体" w:cs="宋体"/>
                <w:kern w:val="0"/>
                <w:sz w:val="24"/>
                <w:szCs w:val="24"/>
              </w:rPr>
              <w:t>　</w:t>
            </w:r>
          </w:p>
        </w:tc>
        <w:tc>
          <w:tcPr>
            <w:tcW w:w="1593" w:type="dxa"/>
            <w:gridSpan w:val="3"/>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tLeas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623" w:hRule="atLeast"/>
        </w:trPr>
        <w:tc>
          <w:tcPr>
            <w:tcW w:w="3756" w:type="dxa"/>
            <w:gridSpan w:val="3"/>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tLeast"/>
              <w:jc w:val="center"/>
              <w:rPr>
                <w:rFonts w:ascii="宋体" w:hAnsi="宋体" w:eastAsia="宋体" w:cs="宋体"/>
                <w:kern w:val="0"/>
                <w:sz w:val="24"/>
                <w:szCs w:val="24"/>
              </w:rPr>
            </w:pPr>
            <w:r>
              <w:rPr>
                <w:rFonts w:hint="eastAsia" w:ascii="宋体" w:hAnsi="宋体" w:eastAsia="宋体" w:cs="宋体"/>
                <w:kern w:val="0"/>
                <w:sz w:val="24"/>
                <w:szCs w:val="24"/>
              </w:rPr>
              <w:t>兽用抗菌药经营使用专项整治行动</w:t>
            </w:r>
          </w:p>
        </w:tc>
        <w:tc>
          <w:tcPr>
            <w:tcW w:w="1665" w:type="dxa"/>
            <w:gridSpan w:val="5"/>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tLeast"/>
              <w:rPr>
                <w:rFonts w:ascii="宋体" w:hAnsi="宋体" w:eastAsia="宋体" w:cs="宋体"/>
                <w:kern w:val="0"/>
                <w:sz w:val="24"/>
                <w:szCs w:val="24"/>
              </w:rPr>
            </w:pPr>
            <w:r>
              <w:rPr>
                <w:rFonts w:hint="eastAsia" w:ascii="宋体" w:hAnsi="宋体" w:eastAsia="宋体" w:cs="宋体"/>
                <w:kern w:val="0"/>
                <w:sz w:val="24"/>
                <w:szCs w:val="24"/>
              </w:rPr>
              <w:t>　</w:t>
            </w:r>
          </w:p>
        </w:tc>
        <w:tc>
          <w:tcPr>
            <w:tcW w:w="1665" w:type="dxa"/>
            <w:gridSpan w:val="3"/>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tLeast"/>
              <w:rPr>
                <w:rFonts w:ascii="宋体" w:hAnsi="宋体" w:eastAsia="宋体" w:cs="宋体"/>
                <w:kern w:val="0"/>
                <w:sz w:val="24"/>
                <w:szCs w:val="24"/>
              </w:rPr>
            </w:pPr>
            <w:r>
              <w:rPr>
                <w:rFonts w:hint="eastAsia" w:ascii="宋体" w:hAnsi="宋体" w:eastAsia="宋体" w:cs="宋体"/>
                <w:kern w:val="0"/>
                <w:sz w:val="24"/>
                <w:szCs w:val="24"/>
              </w:rPr>
              <w:t>　</w:t>
            </w:r>
          </w:p>
        </w:tc>
        <w:tc>
          <w:tcPr>
            <w:tcW w:w="1665" w:type="dxa"/>
            <w:gridSpan w:val="5"/>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tLeast"/>
              <w:rPr>
                <w:rFonts w:ascii="宋体" w:hAnsi="宋体" w:eastAsia="宋体" w:cs="宋体"/>
                <w:kern w:val="0"/>
                <w:sz w:val="24"/>
                <w:szCs w:val="24"/>
              </w:rPr>
            </w:pPr>
            <w:r>
              <w:rPr>
                <w:rFonts w:hint="eastAsia" w:ascii="宋体" w:hAnsi="宋体" w:eastAsia="宋体" w:cs="宋体"/>
                <w:kern w:val="0"/>
                <w:sz w:val="24"/>
                <w:szCs w:val="24"/>
              </w:rPr>
              <w:t>　</w:t>
            </w:r>
          </w:p>
        </w:tc>
        <w:tc>
          <w:tcPr>
            <w:tcW w:w="1665" w:type="dxa"/>
            <w:gridSpan w:val="3"/>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tLeast"/>
              <w:rPr>
                <w:rFonts w:ascii="宋体" w:hAnsi="宋体" w:eastAsia="宋体" w:cs="宋体"/>
                <w:kern w:val="0"/>
                <w:sz w:val="24"/>
                <w:szCs w:val="24"/>
              </w:rPr>
            </w:pPr>
            <w:r>
              <w:rPr>
                <w:rFonts w:hint="eastAsia" w:ascii="宋体" w:hAnsi="宋体" w:eastAsia="宋体" w:cs="宋体"/>
                <w:kern w:val="0"/>
                <w:sz w:val="24"/>
                <w:szCs w:val="24"/>
              </w:rPr>
              <w:t>　</w:t>
            </w:r>
          </w:p>
        </w:tc>
        <w:tc>
          <w:tcPr>
            <w:tcW w:w="1665" w:type="dxa"/>
            <w:gridSpan w:val="5"/>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tLeast"/>
              <w:rPr>
                <w:rFonts w:ascii="宋体" w:hAnsi="宋体" w:eastAsia="宋体" w:cs="宋体"/>
                <w:kern w:val="0"/>
                <w:sz w:val="24"/>
                <w:szCs w:val="24"/>
              </w:rPr>
            </w:pPr>
            <w:r>
              <w:rPr>
                <w:rFonts w:hint="eastAsia" w:ascii="宋体" w:hAnsi="宋体" w:eastAsia="宋体" w:cs="宋体"/>
                <w:kern w:val="0"/>
                <w:sz w:val="24"/>
                <w:szCs w:val="24"/>
              </w:rPr>
              <w:t>　</w:t>
            </w:r>
          </w:p>
        </w:tc>
        <w:tc>
          <w:tcPr>
            <w:tcW w:w="1494" w:type="dxa"/>
            <w:gridSpan w:val="3"/>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tLeast"/>
              <w:rPr>
                <w:rFonts w:ascii="宋体" w:hAnsi="宋体" w:eastAsia="宋体" w:cs="宋体"/>
                <w:kern w:val="0"/>
                <w:sz w:val="24"/>
                <w:szCs w:val="24"/>
              </w:rPr>
            </w:pPr>
            <w:r>
              <w:rPr>
                <w:rFonts w:hint="eastAsia" w:ascii="宋体" w:hAnsi="宋体" w:eastAsia="宋体" w:cs="宋体"/>
                <w:kern w:val="0"/>
                <w:sz w:val="24"/>
                <w:szCs w:val="24"/>
              </w:rPr>
              <w:t>　</w:t>
            </w:r>
          </w:p>
        </w:tc>
        <w:tc>
          <w:tcPr>
            <w:tcW w:w="1593" w:type="dxa"/>
            <w:gridSpan w:val="3"/>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tLeas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623" w:hRule="atLeast"/>
        </w:trPr>
        <w:tc>
          <w:tcPr>
            <w:tcW w:w="3756" w:type="dxa"/>
            <w:gridSpan w:val="3"/>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tLeast"/>
              <w:jc w:val="center"/>
              <w:rPr>
                <w:rFonts w:ascii="宋体" w:hAnsi="宋体" w:eastAsia="宋体" w:cs="宋体"/>
                <w:kern w:val="0"/>
                <w:sz w:val="24"/>
                <w:szCs w:val="24"/>
              </w:rPr>
            </w:pPr>
            <w:r>
              <w:rPr>
                <w:rFonts w:hint="eastAsia" w:ascii="宋体" w:hAnsi="宋体" w:eastAsia="宋体" w:cs="宋体"/>
                <w:kern w:val="0"/>
                <w:sz w:val="24"/>
                <w:szCs w:val="24"/>
              </w:rPr>
              <w:t>生猪屠宰专项整治行动</w:t>
            </w:r>
          </w:p>
        </w:tc>
        <w:tc>
          <w:tcPr>
            <w:tcW w:w="1665" w:type="dxa"/>
            <w:gridSpan w:val="5"/>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tLeast"/>
              <w:rPr>
                <w:rFonts w:ascii="宋体" w:hAnsi="宋体" w:eastAsia="宋体" w:cs="宋体"/>
                <w:kern w:val="0"/>
                <w:sz w:val="24"/>
                <w:szCs w:val="24"/>
              </w:rPr>
            </w:pPr>
            <w:r>
              <w:rPr>
                <w:rFonts w:hint="eastAsia" w:ascii="宋体" w:hAnsi="宋体" w:eastAsia="宋体" w:cs="宋体"/>
                <w:kern w:val="0"/>
                <w:sz w:val="24"/>
                <w:szCs w:val="24"/>
              </w:rPr>
              <w:t>　</w:t>
            </w:r>
          </w:p>
        </w:tc>
        <w:tc>
          <w:tcPr>
            <w:tcW w:w="1665" w:type="dxa"/>
            <w:gridSpan w:val="3"/>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tLeast"/>
              <w:rPr>
                <w:rFonts w:ascii="宋体" w:hAnsi="宋体" w:eastAsia="宋体" w:cs="宋体"/>
                <w:kern w:val="0"/>
                <w:sz w:val="24"/>
                <w:szCs w:val="24"/>
              </w:rPr>
            </w:pPr>
            <w:r>
              <w:rPr>
                <w:rFonts w:hint="eastAsia" w:ascii="宋体" w:hAnsi="宋体" w:eastAsia="宋体" w:cs="宋体"/>
                <w:kern w:val="0"/>
                <w:sz w:val="24"/>
                <w:szCs w:val="24"/>
              </w:rPr>
              <w:t>　</w:t>
            </w:r>
          </w:p>
        </w:tc>
        <w:tc>
          <w:tcPr>
            <w:tcW w:w="1665" w:type="dxa"/>
            <w:gridSpan w:val="5"/>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tLeast"/>
              <w:rPr>
                <w:rFonts w:ascii="宋体" w:hAnsi="宋体" w:eastAsia="宋体" w:cs="宋体"/>
                <w:kern w:val="0"/>
                <w:sz w:val="24"/>
                <w:szCs w:val="24"/>
              </w:rPr>
            </w:pPr>
            <w:r>
              <w:rPr>
                <w:rFonts w:hint="eastAsia" w:ascii="宋体" w:hAnsi="宋体" w:eastAsia="宋体" w:cs="宋体"/>
                <w:kern w:val="0"/>
                <w:sz w:val="24"/>
                <w:szCs w:val="24"/>
              </w:rPr>
              <w:t>　</w:t>
            </w:r>
          </w:p>
        </w:tc>
        <w:tc>
          <w:tcPr>
            <w:tcW w:w="1665" w:type="dxa"/>
            <w:gridSpan w:val="3"/>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tLeast"/>
              <w:rPr>
                <w:rFonts w:ascii="宋体" w:hAnsi="宋体" w:eastAsia="宋体" w:cs="宋体"/>
                <w:kern w:val="0"/>
                <w:sz w:val="24"/>
                <w:szCs w:val="24"/>
              </w:rPr>
            </w:pPr>
            <w:r>
              <w:rPr>
                <w:rFonts w:hint="eastAsia" w:ascii="宋体" w:hAnsi="宋体" w:eastAsia="宋体" w:cs="宋体"/>
                <w:kern w:val="0"/>
                <w:sz w:val="24"/>
                <w:szCs w:val="24"/>
              </w:rPr>
              <w:t>　</w:t>
            </w:r>
          </w:p>
        </w:tc>
        <w:tc>
          <w:tcPr>
            <w:tcW w:w="1665" w:type="dxa"/>
            <w:gridSpan w:val="5"/>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tLeast"/>
              <w:rPr>
                <w:rFonts w:ascii="宋体" w:hAnsi="宋体" w:eastAsia="宋体" w:cs="宋体"/>
                <w:kern w:val="0"/>
                <w:sz w:val="24"/>
                <w:szCs w:val="24"/>
              </w:rPr>
            </w:pPr>
            <w:r>
              <w:rPr>
                <w:rFonts w:hint="eastAsia" w:ascii="宋体" w:hAnsi="宋体" w:eastAsia="宋体" w:cs="宋体"/>
                <w:kern w:val="0"/>
                <w:sz w:val="24"/>
                <w:szCs w:val="24"/>
              </w:rPr>
              <w:t>　</w:t>
            </w:r>
          </w:p>
        </w:tc>
        <w:tc>
          <w:tcPr>
            <w:tcW w:w="1494" w:type="dxa"/>
            <w:gridSpan w:val="3"/>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tLeast"/>
              <w:rPr>
                <w:rFonts w:ascii="宋体" w:hAnsi="宋体" w:eastAsia="宋体" w:cs="宋体"/>
                <w:kern w:val="0"/>
                <w:sz w:val="24"/>
                <w:szCs w:val="24"/>
              </w:rPr>
            </w:pPr>
            <w:r>
              <w:rPr>
                <w:rFonts w:hint="eastAsia" w:ascii="宋体" w:hAnsi="宋体" w:eastAsia="宋体" w:cs="宋体"/>
                <w:kern w:val="0"/>
                <w:sz w:val="24"/>
                <w:szCs w:val="24"/>
              </w:rPr>
              <w:t>　</w:t>
            </w:r>
          </w:p>
        </w:tc>
        <w:tc>
          <w:tcPr>
            <w:tcW w:w="1593" w:type="dxa"/>
            <w:gridSpan w:val="3"/>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tLeas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623" w:hRule="atLeast"/>
        </w:trPr>
        <w:tc>
          <w:tcPr>
            <w:tcW w:w="3756" w:type="dxa"/>
            <w:gridSpan w:val="3"/>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tLeast"/>
              <w:jc w:val="center"/>
              <w:rPr>
                <w:rFonts w:ascii="宋体" w:hAnsi="宋体" w:eastAsia="宋体" w:cs="宋体"/>
                <w:kern w:val="0"/>
                <w:sz w:val="24"/>
                <w:szCs w:val="24"/>
              </w:rPr>
            </w:pPr>
            <w:r>
              <w:rPr>
                <w:rFonts w:hint="eastAsia" w:ascii="宋体" w:hAnsi="宋体" w:eastAsia="宋体" w:cs="宋体"/>
                <w:kern w:val="0"/>
                <w:sz w:val="24"/>
                <w:szCs w:val="24"/>
              </w:rPr>
              <w:t>水产品禁用药物和有毒有害物质专项整治行动</w:t>
            </w:r>
          </w:p>
        </w:tc>
        <w:tc>
          <w:tcPr>
            <w:tcW w:w="1665" w:type="dxa"/>
            <w:gridSpan w:val="5"/>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tLeast"/>
              <w:rPr>
                <w:rFonts w:ascii="宋体" w:hAnsi="宋体" w:eastAsia="宋体" w:cs="宋体"/>
                <w:kern w:val="0"/>
                <w:sz w:val="24"/>
                <w:szCs w:val="24"/>
              </w:rPr>
            </w:pPr>
            <w:r>
              <w:rPr>
                <w:rFonts w:hint="eastAsia" w:ascii="宋体" w:hAnsi="宋体" w:eastAsia="宋体" w:cs="宋体"/>
                <w:kern w:val="0"/>
                <w:sz w:val="24"/>
                <w:szCs w:val="24"/>
              </w:rPr>
              <w:t>　</w:t>
            </w:r>
          </w:p>
        </w:tc>
        <w:tc>
          <w:tcPr>
            <w:tcW w:w="1665" w:type="dxa"/>
            <w:gridSpan w:val="3"/>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tLeast"/>
              <w:rPr>
                <w:rFonts w:ascii="宋体" w:hAnsi="宋体" w:eastAsia="宋体" w:cs="宋体"/>
                <w:kern w:val="0"/>
                <w:sz w:val="24"/>
                <w:szCs w:val="24"/>
              </w:rPr>
            </w:pPr>
            <w:r>
              <w:rPr>
                <w:rFonts w:hint="eastAsia" w:ascii="宋体" w:hAnsi="宋体" w:eastAsia="宋体" w:cs="宋体"/>
                <w:kern w:val="0"/>
                <w:sz w:val="24"/>
                <w:szCs w:val="24"/>
              </w:rPr>
              <w:t>　</w:t>
            </w:r>
          </w:p>
        </w:tc>
        <w:tc>
          <w:tcPr>
            <w:tcW w:w="1665" w:type="dxa"/>
            <w:gridSpan w:val="5"/>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tLeast"/>
              <w:rPr>
                <w:rFonts w:ascii="宋体" w:hAnsi="宋体" w:eastAsia="宋体" w:cs="宋体"/>
                <w:kern w:val="0"/>
                <w:sz w:val="24"/>
                <w:szCs w:val="24"/>
              </w:rPr>
            </w:pPr>
            <w:r>
              <w:rPr>
                <w:rFonts w:hint="eastAsia" w:ascii="宋体" w:hAnsi="宋体" w:eastAsia="宋体" w:cs="宋体"/>
                <w:kern w:val="0"/>
                <w:sz w:val="24"/>
                <w:szCs w:val="24"/>
              </w:rPr>
              <w:t>　</w:t>
            </w:r>
          </w:p>
        </w:tc>
        <w:tc>
          <w:tcPr>
            <w:tcW w:w="1665" w:type="dxa"/>
            <w:gridSpan w:val="3"/>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tLeast"/>
              <w:rPr>
                <w:rFonts w:ascii="宋体" w:hAnsi="宋体" w:eastAsia="宋体" w:cs="宋体"/>
                <w:kern w:val="0"/>
                <w:sz w:val="24"/>
                <w:szCs w:val="24"/>
              </w:rPr>
            </w:pPr>
            <w:r>
              <w:rPr>
                <w:rFonts w:hint="eastAsia" w:ascii="宋体" w:hAnsi="宋体" w:eastAsia="宋体" w:cs="宋体"/>
                <w:kern w:val="0"/>
                <w:sz w:val="24"/>
                <w:szCs w:val="24"/>
              </w:rPr>
              <w:t>　</w:t>
            </w:r>
          </w:p>
        </w:tc>
        <w:tc>
          <w:tcPr>
            <w:tcW w:w="1665" w:type="dxa"/>
            <w:gridSpan w:val="5"/>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tLeast"/>
              <w:rPr>
                <w:rFonts w:ascii="宋体" w:hAnsi="宋体" w:eastAsia="宋体" w:cs="宋体"/>
                <w:kern w:val="0"/>
                <w:sz w:val="24"/>
                <w:szCs w:val="24"/>
              </w:rPr>
            </w:pPr>
            <w:r>
              <w:rPr>
                <w:rFonts w:hint="eastAsia" w:ascii="宋体" w:hAnsi="宋体" w:eastAsia="宋体" w:cs="宋体"/>
                <w:kern w:val="0"/>
                <w:sz w:val="24"/>
                <w:szCs w:val="24"/>
              </w:rPr>
              <w:t>　</w:t>
            </w:r>
          </w:p>
        </w:tc>
        <w:tc>
          <w:tcPr>
            <w:tcW w:w="1494" w:type="dxa"/>
            <w:gridSpan w:val="3"/>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tLeast"/>
              <w:rPr>
                <w:rFonts w:ascii="宋体" w:hAnsi="宋体" w:eastAsia="宋体" w:cs="宋体"/>
                <w:kern w:val="0"/>
                <w:sz w:val="24"/>
                <w:szCs w:val="24"/>
              </w:rPr>
            </w:pPr>
            <w:r>
              <w:rPr>
                <w:rFonts w:hint="eastAsia" w:ascii="宋体" w:hAnsi="宋体" w:eastAsia="宋体" w:cs="宋体"/>
                <w:kern w:val="0"/>
                <w:sz w:val="24"/>
                <w:szCs w:val="24"/>
              </w:rPr>
              <w:t>　</w:t>
            </w:r>
          </w:p>
        </w:tc>
        <w:tc>
          <w:tcPr>
            <w:tcW w:w="1593" w:type="dxa"/>
            <w:gridSpan w:val="3"/>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tLeas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623" w:hRule="atLeast"/>
        </w:trPr>
        <w:tc>
          <w:tcPr>
            <w:tcW w:w="3756" w:type="dxa"/>
            <w:gridSpan w:val="3"/>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atLeast"/>
              <w:jc w:val="center"/>
              <w:rPr>
                <w:rFonts w:ascii="宋体" w:hAnsi="宋体" w:eastAsia="宋体" w:cs="宋体"/>
                <w:kern w:val="0"/>
                <w:sz w:val="24"/>
                <w:szCs w:val="24"/>
              </w:rPr>
            </w:pPr>
            <w:r>
              <w:rPr>
                <w:rFonts w:hint="eastAsia" w:ascii="宋体" w:hAnsi="宋体" w:eastAsia="宋体" w:cs="宋体"/>
                <w:kern w:val="0"/>
                <w:sz w:val="24"/>
                <w:szCs w:val="24"/>
              </w:rPr>
              <w:t>合  计</w:t>
            </w:r>
          </w:p>
        </w:tc>
        <w:tc>
          <w:tcPr>
            <w:tcW w:w="1665" w:type="dxa"/>
            <w:gridSpan w:val="5"/>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tLeast"/>
              <w:rPr>
                <w:rFonts w:ascii="宋体" w:hAnsi="宋体" w:eastAsia="宋体" w:cs="宋体"/>
                <w:kern w:val="0"/>
                <w:sz w:val="24"/>
                <w:szCs w:val="24"/>
              </w:rPr>
            </w:pPr>
            <w:r>
              <w:rPr>
                <w:rFonts w:hint="eastAsia" w:ascii="宋体" w:hAnsi="宋体" w:eastAsia="宋体" w:cs="宋体"/>
                <w:kern w:val="0"/>
                <w:sz w:val="24"/>
                <w:szCs w:val="24"/>
              </w:rPr>
              <w:t>　</w:t>
            </w:r>
          </w:p>
        </w:tc>
        <w:tc>
          <w:tcPr>
            <w:tcW w:w="1665" w:type="dxa"/>
            <w:gridSpan w:val="3"/>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tLeast"/>
              <w:rPr>
                <w:rFonts w:ascii="宋体" w:hAnsi="宋体" w:eastAsia="宋体" w:cs="宋体"/>
                <w:kern w:val="0"/>
                <w:sz w:val="24"/>
                <w:szCs w:val="24"/>
              </w:rPr>
            </w:pPr>
            <w:r>
              <w:rPr>
                <w:rFonts w:hint="eastAsia" w:ascii="宋体" w:hAnsi="宋体" w:eastAsia="宋体" w:cs="宋体"/>
                <w:kern w:val="0"/>
                <w:sz w:val="24"/>
                <w:szCs w:val="24"/>
              </w:rPr>
              <w:t>　</w:t>
            </w:r>
          </w:p>
        </w:tc>
        <w:tc>
          <w:tcPr>
            <w:tcW w:w="1665" w:type="dxa"/>
            <w:gridSpan w:val="5"/>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tLeast"/>
              <w:rPr>
                <w:rFonts w:ascii="宋体" w:hAnsi="宋体" w:eastAsia="宋体" w:cs="宋体"/>
                <w:kern w:val="0"/>
                <w:sz w:val="24"/>
                <w:szCs w:val="24"/>
              </w:rPr>
            </w:pPr>
            <w:r>
              <w:rPr>
                <w:rFonts w:hint="eastAsia" w:ascii="宋体" w:hAnsi="宋体" w:eastAsia="宋体" w:cs="宋体"/>
                <w:kern w:val="0"/>
                <w:sz w:val="24"/>
                <w:szCs w:val="24"/>
              </w:rPr>
              <w:t>　</w:t>
            </w:r>
          </w:p>
        </w:tc>
        <w:tc>
          <w:tcPr>
            <w:tcW w:w="1665" w:type="dxa"/>
            <w:gridSpan w:val="3"/>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tLeast"/>
              <w:rPr>
                <w:rFonts w:ascii="宋体" w:hAnsi="宋体" w:eastAsia="宋体" w:cs="宋体"/>
                <w:kern w:val="0"/>
                <w:sz w:val="24"/>
                <w:szCs w:val="24"/>
              </w:rPr>
            </w:pPr>
            <w:r>
              <w:rPr>
                <w:rFonts w:hint="eastAsia" w:ascii="宋体" w:hAnsi="宋体" w:eastAsia="宋体" w:cs="宋体"/>
                <w:kern w:val="0"/>
                <w:sz w:val="24"/>
                <w:szCs w:val="24"/>
              </w:rPr>
              <w:t>　</w:t>
            </w:r>
          </w:p>
        </w:tc>
        <w:tc>
          <w:tcPr>
            <w:tcW w:w="1665" w:type="dxa"/>
            <w:gridSpan w:val="5"/>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tLeast"/>
              <w:rPr>
                <w:rFonts w:ascii="宋体" w:hAnsi="宋体" w:eastAsia="宋体" w:cs="宋体"/>
                <w:kern w:val="0"/>
                <w:sz w:val="24"/>
                <w:szCs w:val="24"/>
              </w:rPr>
            </w:pPr>
            <w:r>
              <w:rPr>
                <w:rFonts w:hint="eastAsia" w:ascii="宋体" w:hAnsi="宋体" w:eastAsia="宋体" w:cs="宋体"/>
                <w:kern w:val="0"/>
                <w:sz w:val="24"/>
                <w:szCs w:val="24"/>
              </w:rPr>
              <w:t>　</w:t>
            </w:r>
          </w:p>
        </w:tc>
        <w:tc>
          <w:tcPr>
            <w:tcW w:w="1494" w:type="dxa"/>
            <w:gridSpan w:val="3"/>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tLeast"/>
              <w:rPr>
                <w:rFonts w:ascii="宋体" w:hAnsi="宋体" w:eastAsia="宋体" w:cs="宋体"/>
                <w:kern w:val="0"/>
                <w:sz w:val="24"/>
                <w:szCs w:val="24"/>
              </w:rPr>
            </w:pPr>
            <w:r>
              <w:rPr>
                <w:rFonts w:hint="eastAsia" w:ascii="宋体" w:hAnsi="宋体" w:eastAsia="宋体" w:cs="宋体"/>
                <w:kern w:val="0"/>
                <w:sz w:val="24"/>
                <w:szCs w:val="24"/>
              </w:rPr>
              <w:t>　</w:t>
            </w:r>
          </w:p>
        </w:tc>
        <w:tc>
          <w:tcPr>
            <w:tcW w:w="1593" w:type="dxa"/>
            <w:gridSpan w:val="3"/>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atLeas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35" w:hRule="atLeast"/>
        </w:trPr>
        <w:tc>
          <w:tcPr>
            <w:tcW w:w="15168" w:type="dxa"/>
            <w:gridSpan w:val="30"/>
            <w:tcBorders>
              <w:top w:val="single" w:color="auto" w:sz="4" w:space="0"/>
              <w:left w:val="nil"/>
              <w:bottom w:val="nil"/>
              <w:right w:val="nil"/>
            </w:tcBorders>
            <w:shd w:val="clear" w:color="auto" w:fill="auto"/>
            <w:vAlign w:val="center"/>
          </w:tcPr>
          <w:p>
            <w:pPr>
              <w:widowControl/>
              <w:adjustRightInd w:val="0"/>
              <w:snapToGrid w:val="0"/>
              <w:spacing w:line="240" w:lineRule="atLeast"/>
              <w:jc w:val="left"/>
              <w:rPr>
                <w:rFonts w:ascii="宋体" w:hAnsi="宋体" w:eastAsia="宋体" w:cs="宋体"/>
                <w:kern w:val="0"/>
                <w:sz w:val="24"/>
                <w:szCs w:val="24"/>
              </w:rPr>
            </w:pPr>
            <w:r>
              <w:rPr>
                <w:rFonts w:hint="eastAsia" w:ascii="宋体" w:hAnsi="宋体" w:eastAsia="宋体" w:cs="宋体"/>
                <w:kern w:val="0"/>
                <w:sz w:val="24"/>
                <w:szCs w:val="24"/>
              </w:rPr>
              <w:t>说明：1. 此表按月报送，每月5日前报送当年上月的案件统计数据。</w:t>
            </w:r>
          </w:p>
        </w:tc>
      </w:tr>
      <w:tr>
        <w:tblPrEx>
          <w:tblCellMar>
            <w:top w:w="0" w:type="dxa"/>
            <w:left w:w="108" w:type="dxa"/>
            <w:bottom w:w="0" w:type="dxa"/>
            <w:right w:w="108" w:type="dxa"/>
          </w:tblCellMar>
        </w:tblPrEx>
        <w:trPr>
          <w:trHeight w:val="435" w:hRule="atLeast"/>
        </w:trPr>
        <w:tc>
          <w:tcPr>
            <w:tcW w:w="15168" w:type="dxa"/>
            <w:gridSpan w:val="30"/>
            <w:tcBorders>
              <w:top w:val="nil"/>
              <w:left w:val="nil"/>
              <w:bottom w:val="nil"/>
              <w:right w:val="nil"/>
            </w:tcBorders>
            <w:shd w:val="clear" w:color="auto" w:fill="auto"/>
            <w:vAlign w:val="center"/>
          </w:tcPr>
          <w:p>
            <w:pPr>
              <w:widowControl/>
              <w:adjustRightInd w:val="0"/>
              <w:snapToGrid w:val="0"/>
              <w:spacing w:line="240" w:lineRule="atLeast"/>
              <w:jc w:val="left"/>
              <w:rPr>
                <w:rFonts w:ascii="宋体" w:hAnsi="宋体" w:eastAsia="宋体" w:cs="宋体"/>
                <w:kern w:val="0"/>
                <w:sz w:val="24"/>
                <w:szCs w:val="24"/>
              </w:rPr>
            </w:pPr>
            <w:r>
              <w:rPr>
                <w:rFonts w:hint="eastAsia" w:ascii="宋体" w:hAnsi="宋体" w:eastAsia="宋体" w:cs="宋体"/>
                <w:kern w:val="0"/>
                <w:sz w:val="24"/>
                <w:szCs w:val="24"/>
              </w:rPr>
              <w:t xml:space="preserve">      2. 每月的大案要案（移送司法机关的案件）请随此表同时报送详细案情。</w:t>
            </w:r>
          </w:p>
        </w:tc>
      </w:tr>
      <w:tr>
        <w:tblPrEx>
          <w:tblCellMar>
            <w:top w:w="0" w:type="dxa"/>
            <w:left w:w="108" w:type="dxa"/>
            <w:bottom w:w="0" w:type="dxa"/>
            <w:right w:w="108" w:type="dxa"/>
          </w:tblCellMar>
        </w:tblPrEx>
        <w:trPr>
          <w:trHeight w:val="405" w:hRule="atLeast"/>
        </w:trPr>
        <w:tc>
          <w:tcPr>
            <w:tcW w:w="15168" w:type="dxa"/>
            <w:gridSpan w:val="30"/>
            <w:tcBorders>
              <w:top w:val="nil"/>
              <w:left w:val="nil"/>
              <w:bottom w:val="nil"/>
              <w:right w:val="nil"/>
            </w:tcBorders>
            <w:shd w:val="clear" w:color="auto" w:fill="auto"/>
            <w:noWrap/>
            <w:vAlign w:val="center"/>
          </w:tcPr>
          <w:p>
            <w:pPr>
              <w:widowControl/>
              <w:adjustRightInd w:val="0"/>
              <w:snapToGrid w:val="0"/>
              <w:spacing w:line="240" w:lineRule="atLeast"/>
              <w:jc w:val="left"/>
              <w:rPr>
                <w:rFonts w:ascii="宋体" w:hAnsi="宋体" w:eastAsia="宋体" w:cs="宋体"/>
                <w:kern w:val="0"/>
                <w:sz w:val="24"/>
                <w:szCs w:val="24"/>
              </w:rPr>
            </w:pPr>
            <w:r>
              <w:rPr>
                <w:rFonts w:hint="eastAsia" w:ascii="宋体" w:hAnsi="宋体" w:eastAsia="宋体" w:cs="宋体"/>
                <w:kern w:val="0"/>
                <w:sz w:val="24"/>
                <w:szCs w:val="24"/>
              </w:rPr>
              <w:t xml:space="preserve">      3. 农资打假专项治理行动的查办案件情况请按照《农业部办公厅关于做好侵权假冒查办案件统计工作的通知》（农办质[2014]6                                                        </w:t>
            </w:r>
          </w:p>
        </w:tc>
      </w:tr>
      <w:tr>
        <w:tblPrEx>
          <w:tblCellMar>
            <w:top w:w="0" w:type="dxa"/>
            <w:left w:w="108" w:type="dxa"/>
            <w:bottom w:w="0" w:type="dxa"/>
            <w:right w:w="108" w:type="dxa"/>
          </w:tblCellMar>
        </w:tblPrEx>
        <w:trPr>
          <w:trHeight w:val="465" w:hRule="atLeast"/>
        </w:trPr>
        <w:tc>
          <w:tcPr>
            <w:tcW w:w="15168" w:type="dxa"/>
            <w:gridSpan w:val="30"/>
            <w:tcBorders>
              <w:top w:val="nil"/>
              <w:left w:val="nil"/>
              <w:bottom w:val="nil"/>
              <w:right w:val="nil"/>
            </w:tcBorders>
            <w:shd w:val="clear" w:color="auto" w:fill="auto"/>
            <w:vAlign w:val="center"/>
          </w:tcPr>
          <w:p>
            <w:pPr>
              <w:widowControl/>
              <w:adjustRightInd w:val="0"/>
              <w:snapToGrid w:val="0"/>
              <w:spacing w:line="240" w:lineRule="atLeast"/>
              <w:jc w:val="left"/>
              <w:rPr>
                <w:rFonts w:ascii="宋体" w:hAnsi="宋体" w:eastAsia="宋体" w:cs="宋体"/>
                <w:kern w:val="0"/>
                <w:sz w:val="24"/>
                <w:szCs w:val="24"/>
              </w:rPr>
            </w:pPr>
            <w:r>
              <w:rPr>
                <w:rFonts w:hint="eastAsia" w:ascii="宋体" w:hAnsi="宋体" w:eastAsia="宋体" w:cs="宋体"/>
                <w:kern w:val="0"/>
                <w:sz w:val="24"/>
                <w:szCs w:val="24"/>
              </w:rPr>
              <w:t xml:space="preserve">         号）的要求报送。</w:t>
            </w:r>
          </w:p>
        </w:tc>
      </w:tr>
      <w:tr>
        <w:tblPrEx>
          <w:tblCellMar>
            <w:top w:w="0" w:type="dxa"/>
            <w:left w:w="108" w:type="dxa"/>
            <w:bottom w:w="0" w:type="dxa"/>
            <w:right w:w="108" w:type="dxa"/>
          </w:tblCellMar>
        </w:tblPrEx>
        <w:trPr>
          <w:trHeight w:val="312" w:hRule="atLeast"/>
        </w:trPr>
        <w:tc>
          <w:tcPr>
            <w:tcW w:w="15168" w:type="dxa"/>
            <w:gridSpan w:val="30"/>
            <w:tcBorders>
              <w:top w:val="nil"/>
              <w:left w:val="nil"/>
              <w:bottom w:val="nil"/>
              <w:right w:val="nil"/>
            </w:tcBorders>
            <w:shd w:val="clear" w:color="auto" w:fill="auto"/>
            <w:noWrap/>
            <w:vAlign w:val="center"/>
          </w:tcPr>
          <w:p>
            <w:pPr>
              <w:widowControl/>
              <w:adjustRightInd w:val="0"/>
              <w:snapToGrid w:val="0"/>
              <w:spacing w:line="240" w:lineRule="atLeast"/>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65" w:hRule="atLeast"/>
        </w:trPr>
        <w:tc>
          <w:tcPr>
            <w:tcW w:w="3092" w:type="dxa"/>
            <w:gridSpan w:val="2"/>
            <w:tcBorders>
              <w:top w:val="nil"/>
              <w:left w:val="nil"/>
              <w:bottom w:val="nil"/>
              <w:right w:val="nil"/>
            </w:tcBorders>
            <w:shd w:val="clear" w:color="auto" w:fill="auto"/>
            <w:noWrap/>
            <w:vAlign w:val="center"/>
          </w:tcPr>
          <w:p>
            <w:pPr>
              <w:widowControl/>
              <w:jc w:val="left"/>
              <w:rPr>
                <w:rFonts w:ascii="黑体" w:hAnsi="黑体" w:eastAsia="黑体" w:cs="宋体"/>
                <w:kern w:val="0"/>
                <w:szCs w:val="32"/>
              </w:rPr>
            </w:pPr>
            <w:r>
              <w:rPr>
                <w:rFonts w:hint="eastAsia" w:ascii="黑体" w:hAnsi="黑体" w:eastAsia="黑体" w:cs="宋体"/>
                <w:kern w:val="0"/>
                <w:szCs w:val="32"/>
              </w:rPr>
              <w:t>附表2</w:t>
            </w:r>
          </w:p>
        </w:tc>
        <w:tc>
          <w:tcPr>
            <w:tcW w:w="1120" w:type="dxa"/>
            <w:gridSpan w:val="3"/>
            <w:tcBorders>
              <w:top w:val="nil"/>
              <w:left w:val="nil"/>
              <w:bottom w:val="nil"/>
              <w:right w:val="nil"/>
            </w:tcBorders>
            <w:shd w:val="clear" w:color="auto" w:fill="auto"/>
            <w:noWrap/>
            <w:vAlign w:val="center"/>
          </w:tcPr>
          <w:p>
            <w:pPr>
              <w:widowControl/>
              <w:jc w:val="left"/>
              <w:rPr>
                <w:rFonts w:ascii="Times New Roman" w:hAnsi="Times New Roman" w:eastAsia="宋体"/>
                <w:kern w:val="0"/>
                <w:sz w:val="24"/>
                <w:szCs w:val="24"/>
              </w:rPr>
            </w:pPr>
          </w:p>
        </w:tc>
        <w:tc>
          <w:tcPr>
            <w:tcW w:w="1120" w:type="dxa"/>
            <w:gridSpan w:val="2"/>
            <w:tcBorders>
              <w:top w:val="nil"/>
              <w:left w:val="nil"/>
              <w:bottom w:val="nil"/>
              <w:right w:val="nil"/>
            </w:tcBorders>
            <w:shd w:val="clear" w:color="auto" w:fill="auto"/>
            <w:noWrap/>
            <w:vAlign w:val="center"/>
          </w:tcPr>
          <w:p>
            <w:pPr>
              <w:widowControl/>
              <w:jc w:val="left"/>
              <w:rPr>
                <w:rFonts w:ascii="Times New Roman" w:hAnsi="Times New Roman" w:eastAsia="宋体"/>
                <w:kern w:val="0"/>
                <w:sz w:val="24"/>
                <w:szCs w:val="24"/>
              </w:rPr>
            </w:pPr>
          </w:p>
        </w:tc>
        <w:tc>
          <w:tcPr>
            <w:tcW w:w="1120" w:type="dxa"/>
            <w:gridSpan w:val="3"/>
            <w:tcBorders>
              <w:top w:val="nil"/>
              <w:left w:val="nil"/>
              <w:bottom w:val="nil"/>
              <w:right w:val="nil"/>
            </w:tcBorders>
            <w:shd w:val="clear" w:color="auto" w:fill="auto"/>
            <w:noWrap/>
            <w:vAlign w:val="center"/>
          </w:tcPr>
          <w:p>
            <w:pPr>
              <w:widowControl/>
              <w:jc w:val="left"/>
              <w:rPr>
                <w:rFonts w:ascii="Times New Roman" w:hAnsi="Times New Roman" w:eastAsia="宋体"/>
                <w:kern w:val="0"/>
                <w:sz w:val="24"/>
                <w:szCs w:val="24"/>
              </w:rPr>
            </w:pPr>
          </w:p>
        </w:tc>
        <w:tc>
          <w:tcPr>
            <w:tcW w:w="1120" w:type="dxa"/>
            <w:gridSpan w:val="3"/>
            <w:tcBorders>
              <w:top w:val="nil"/>
              <w:left w:val="nil"/>
              <w:bottom w:val="nil"/>
              <w:right w:val="nil"/>
            </w:tcBorders>
            <w:shd w:val="clear" w:color="auto" w:fill="auto"/>
            <w:noWrap/>
            <w:vAlign w:val="center"/>
          </w:tcPr>
          <w:p>
            <w:pPr>
              <w:widowControl/>
              <w:jc w:val="left"/>
              <w:rPr>
                <w:rFonts w:ascii="Times New Roman" w:hAnsi="Times New Roman" w:eastAsia="宋体"/>
                <w:kern w:val="0"/>
                <w:sz w:val="24"/>
                <w:szCs w:val="24"/>
              </w:rPr>
            </w:pPr>
          </w:p>
        </w:tc>
        <w:tc>
          <w:tcPr>
            <w:tcW w:w="1120" w:type="dxa"/>
            <w:gridSpan w:val="2"/>
            <w:tcBorders>
              <w:top w:val="nil"/>
              <w:left w:val="nil"/>
              <w:bottom w:val="nil"/>
              <w:right w:val="nil"/>
            </w:tcBorders>
            <w:shd w:val="clear" w:color="auto" w:fill="auto"/>
            <w:noWrap/>
            <w:vAlign w:val="center"/>
          </w:tcPr>
          <w:p>
            <w:pPr>
              <w:widowControl/>
              <w:jc w:val="left"/>
              <w:rPr>
                <w:rFonts w:ascii="Times New Roman" w:hAnsi="Times New Roman" w:eastAsia="宋体"/>
                <w:kern w:val="0"/>
                <w:sz w:val="24"/>
                <w:szCs w:val="24"/>
              </w:rPr>
            </w:pPr>
          </w:p>
        </w:tc>
        <w:tc>
          <w:tcPr>
            <w:tcW w:w="1120" w:type="dxa"/>
            <w:gridSpan w:val="3"/>
            <w:tcBorders>
              <w:top w:val="nil"/>
              <w:left w:val="nil"/>
              <w:bottom w:val="nil"/>
              <w:right w:val="nil"/>
            </w:tcBorders>
            <w:shd w:val="clear" w:color="auto" w:fill="auto"/>
            <w:noWrap/>
            <w:vAlign w:val="center"/>
          </w:tcPr>
          <w:p>
            <w:pPr>
              <w:widowControl/>
              <w:jc w:val="left"/>
              <w:rPr>
                <w:rFonts w:ascii="Times New Roman" w:hAnsi="Times New Roman" w:eastAsia="宋体"/>
                <w:kern w:val="0"/>
                <w:sz w:val="24"/>
                <w:szCs w:val="24"/>
              </w:rPr>
            </w:pPr>
          </w:p>
        </w:tc>
        <w:tc>
          <w:tcPr>
            <w:tcW w:w="1120" w:type="dxa"/>
            <w:gridSpan w:val="3"/>
            <w:tcBorders>
              <w:top w:val="nil"/>
              <w:left w:val="nil"/>
              <w:bottom w:val="nil"/>
              <w:right w:val="nil"/>
            </w:tcBorders>
            <w:shd w:val="clear" w:color="auto" w:fill="auto"/>
            <w:noWrap/>
            <w:vAlign w:val="center"/>
          </w:tcPr>
          <w:p>
            <w:pPr>
              <w:widowControl/>
              <w:jc w:val="left"/>
              <w:rPr>
                <w:rFonts w:ascii="Times New Roman" w:hAnsi="Times New Roman" w:eastAsia="宋体"/>
                <w:kern w:val="0"/>
                <w:sz w:val="24"/>
                <w:szCs w:val="24"/>
              </w:rPr>
            </w:pPr>
          </w:p>
        </w:tc>
        <w:tc>
          <w:tcPr>
            <w:tcW w:w="1120" w:type="dxa"/>
            <w:gridSpan w:val="2"/>
            <w:tcBorders>
              <w:top w:val="nil"/>
              <w:left w:val="nil"/>
              <w:bottom w:val="nil"/>
              <w:right w:val="nil"/>
            </w:tcBorders>
            <w:shd w:val="clear" w:color="auto" w:fill="auto"/>
            <w:noWrap/>
            <w:vAlign w:val="center"/>
          </w:tcPr>
          <w:p>
            <w:pPr>
              <w:widowControl/>
              <w:jc w:val="left"/>
              <w:rPr>
                <w:rFonts w:ascii="Times New Roman" w:hAnsi="Times New Roman" w:eastAsia="宋体"/>
                <w:kern w:val="0"/>
                <w:sz w:val="24"/>
                <w:szCs w:val="24"/>
              </w:rPr>
            </w:pPr>
          </w:p>
        </w:tc>
        <w:tc>
          <w:tcPr>
            <w:tcW w:w="1120" w:type="dxa"/>
            <w:gridSpan w:val="3"/>
            <w:tcBorders>
              <w:top w:val="nil"/>
              <w:left w:val="nil"/>
              <w:bottom w:val="nil"/>
              <w:right w:val="nil"/>
            </w:tcBorders>
            <w:shd w:val="clear" w:color="auto" w:fill="auto"/>
            <w:noWrap/>
            <w:vAlign w:val="center"/>
          </w:tcPr>
          <w:p>
            <w:pPr>
              <w:widowControl/>
              <w:jc w:val="left"/>
              <w:rPr>
                <w:rFonts w:ascii="Times New Roman" w:hAnsi="Times New Roman" w:eastAsia="宋体"/>
                <w:kern w:val="0"/>
                <w:sz w:val="24"/>
                <w:szCs w:val="24"/>
              </w:rPr>
            </w:pPr>
          </w:p>
        </w:tc>
        <w:tc>
          <w:tcPr>
            <w:tcW w:w="1120" w:type="dxa"/>
            <w:gridSpan w:val="3"/>
            <w:tcBorders>
              <w:top w:val="nil"/>
              <w:left w:val="nil"/>
              <w:bottom w:val="nil"/>
              <w:right w:val="nil"/>
            </w:tcBorders>
            <w:shd w:val="clear" w:color="auto" w:fill="auto"/>
            <w:noWrap/>
            <w:vAlign w:val="center"/>
          </w:tcPr>
          <w:p>
            <w:pPr>
              <w:widowControl/>
              <w:jc w:val="left"/>
              <w:rPr>
                <w:rFonts w:ascii="Times New Roman" w:hAnsi="Times New Roman" w:eastAsia="宋体"/>
                <w:kern w:val="0"/>
                <w:sz w:val="24"/>
                <w:szCs w:val="24"/>
              </w:rPr>
            </w:pPr>
          </w:p>
        </w:tc>
        <w:tc>
          <w:tcPr>
            <w:tcW w:w="876" w:type="dxa"/>
            <w:tcBorders>
              <w:top w:val="nil"/>
              <w:left w:val="nil"/>
              <w:bottom w:val="nil"/>
              <w:right w:val="nil"/>
            </w:tcBorders>
            <w:shd w:val="clear" w:color="auto" w:fill="auto"/>
            <w:noWrap/>
            <w:vAlign w:val="center"/>
          </w:tcPr>
          <w:p>
            <w:pPr>
              <w:widowControl/>
              <w:jc w:val="left"/>
              <w:rPr>
                <w:rFonts w:ascii="Times New Roman" w:hAnsi="Times New Roman" w:eastAsia="宋体"/>
                <w:kern w:val="0"/>
                <w:sz w:val="24"/>
                <w:szCs w:val="24"/>
              </w:rPr>
            </w:pPr>
          </w:p>
        </w:tc>
      </w:tr>
      <w:tr>
        <w:tblPrEx>
          <w:tblCellMar>
            <w:top w:w="0" w:type="dxa"/>
            <w:left w:w="108" w:type="dxa"/>
            <w:bottom w:w="0" w:type="dxa"/>
            <w:right w:w="108" w:type="dxa"/>
          </w:tblCellMar>
        </w:tblPrEx>
        <w:trPr>
          <w:trHeight w:val="504" w:hRule="atLeast"/>
        </w:trPr>
        <w:tc>
          <w:tcPr>
            <w:tcW w:w="15168" w:type="dxa"/>
            <w:gridSpan w:val="30"/>
            <w:tcBorders>
              <w:top w:val="nil"/>
              <w:left w:val="nil"/>
              <w:bottom w:val="nil"/>
              <w:right w:val="nil"/>
            </w:tcBorders>
            <w:shd w:val="clear" w:color="auto" w:fill="auto"/>
            <w:noWrap/>
            <w:vAlign w:val="center"/>
          </w:tcPr>
          <w:p>
            <w:pPr>
              <w:widowControl/>
              <w:jc w:val="center"/>
              <w:rPr>
                <w:rFonts w:ascii="方正小标宋简体" w:hAnsi="华文中宋" w:eastAsia="方正小标宋简体" w:cs="宋体"/>
                <w:bCs/>
                <w:kern w:val="0"/>
                <w:sz w:val="36"/>
                <w:szCs w:val="36"/>
              </w:rPr>
            </w:pPr>
            <w:r>
              <w:rPr>
                <w:rFonts w:hint="eastAsia" w:ascii="方正小标宋简体" w:hAnsi="华文中宋" w:eastAsia="方正小标宋简体" w:cs="宋体"/>
                <w:bCs/>
                <w:kern w:val="0"/>
                <w:sz w:val="36"/>
                <w:szCs w:val="36"/>
              </w:rPr>
              <w:t>2015年第XX季度农产品质量安全专项整治情况统计表</w:t>
            </w:r>
          </w:p>
        </w:tc>
      </w:tr>
      <w:tr>
        <w:tblPrEx>
          <w:tblCellMar>
            <w:top w:w="0" w:type="dxa"/>
            <w:left w:w="108" w:type="dxa"/>
            <w:bottom w:w="0" w:type="dxa"/>
            <w:right w:w="108" w:type="dxa"/>
          </w:tblCellMar>
        </w:tblPrEx>
        <w:trPr>
          <w:trHeight w:val="615" w:hRule="atLeast"/>
        </w:trPr>
        <w:tc>
          <w:tcPr>
            <w:tcW w:w="8505" w:type="dxa"/>
            <w:gridSpan w:val="14"/>
            <w:tcBorders>
              <w:top w:val="nil"/>
              <w:left w:val="nil"/>
              <w:bottom w:val="nil"/>
              <w:right w:val="nil"/>
            </w:tcBorders>
            <w:shd w:val="clear" w:color="auto" w:fill="auto"/>
            <w:noWrap/>
            <w:vAlign w:val="center"/>
          </w:tcPr>
          <w:p>
            <w:pPr>
              <w:widowControl/>
              <w:jc w:val="left"/>
              <w:rPr>
                <w:rFonts w:ascii="仿宋_GB2312" w:hAnsi="宋体" w:cs="宋体"/>
                <w:kern w:val="0"/>
                <w:sz w:val="24"/>
                <w:szCs w:val="24"/>
              </w:rPr>
            </w:pPr>
            <w:r>
              <w:rPr>
                <w:rFonts w:hint="eastAsia" w:ascii="仿宋_GB2312" w:hAnsi="宋体" w:cs="宋体"/>
                <w:kern w:val="0"/>
                <w:sz w:val="24"/>
                <w:szCs w:val="24"/>
              </w:rPr>
              <w:t>填报单位：（加盖公章）</w:t>
            </w:r>
          </w:p>
        </w:tc>
        <w:tc>
          <w:tcPr>
            <w:tcW w:w="1134" w:type="dxa"/>
            <w:gridSpan w:val="3"/>
            <w:tcBorders>
              <w:top w:val="nil"/>
              <w:left w:val="nil"/>
              <w:bottom w:val="nil"/>
              <w:right w:val="nil"/>
            </w:tcBorders>
            <w:shd w:val="clear" w:color="auto" w:fill="auto"/>
            <w:noWrap/>
            <w:vAlign w:val="center"/>
          </w:tcPr>
          <w:p>
            <w:pPr>
              <w:widowControl/>
              <w:jc w:val="left"/>
              <w:rPr>
                <w:rFonts w:ascii="Times New Roman" w:hAnsi="Times New Roman" w:eastAsia="宋体"/>
                <w:kern w:val="0"/>
                <w:sz w:val="24"/>
                <w:szCs w:val="24"/>
              </w:rPr>
            </w:pPr>
          </w:p>
        </w:tc>
        <w:tc>
          <w:tcPr>
            <w:tcW w:w="993" w:type="dxa"/>
            <w:gridSpan w:val="3"/>
            <w:tcBorders>
              <w:top w:val="nil"/>
              <w:left w:val="nil"/>
              <w:bottom w:val="nil"/>
              <w:right w:val="nil"/>
            </w:tcBorders>
            <w:shd w:val="clear" w:color="auto" w:fill="auto"/>
            <w:noWrap/>
            <w:vAlign w:val="center"/>
          </w:tcPr>
          <w:p>
            <w:pPr>
              <w:widowControl/>
              <w:jc w:val="left"/>
              <w:rPr>
                <w:rFonts w:ascii="Times New Roman" w:hAnsi="Times New Roman" w:eastAsia="宋体"/>
                <w:kern w:val="0"/>
                <w:sz w:val="24"/>
                <w:szCs w:val="24"/>
              </w:rPr>
            </w:pPr>
          </w:p>
        </w:tc>
        <w:tc>
          <w:tcPr>
            <w:tcW w:w="1134" w:type="dxa"/>
            <w:gridSpan w:val="2"/>
            <w:tcBorders>
              <w:top w:val="nil"/>
              <w:left w:val="nil"/>
              <w:bottom w:val="nil"/>
              <w:right w:val="nil"/>
            </w:tcBorders>
            <w:shd w:val="clear" w:color="auto" w:fill="auto"/>
            <w:noWrap/>
            <w:vAlign w:val="center"/>
          </w:tcPr>
          <w:p>
            <w:pPr>
              <w:widowControl/>
              <w:jc w:val="left"/>
              <w:rPr>
                <w:rFonts w:ascii="Times New Roman" w:hAnsi="Times New Roman" w:eastAsia="宋体"/>
                <w:kern w:val="0"/>
                <w:sz w:val="24"/>
                <w:szCs w:val="24"/>
              </w:rPr>
            </w:pPr>
          </w:p>
        </w:tc>
        <w:tc>
          <w:tcPr>
            <w:tcW w:w="1134" w:type="dxa"/>
            <w:gridSpan w:val="3"/>
            <w:tcBorders>
              <w:top w:val="nil"/>
              <w:left w:val="nil"/>
              <w:bottom w:val="nil"/>
              <w:right w:val="nil"/>
            </w:tcBorders>
            <w:shd w:val="clear" w:color="auto" w:fill="auto"/>
            <w:noWrap/>
            <w:vAlign w:val="center"/>
          </w:tcPr>
          <w:p>
            <w:pPr>
              <w:widowControl/>
              <w:jc w:val="left"/>
              <w:rPr>
                <w:rFonts w:ascii="Times New Roman" w:hAnsi="Times New Roman" w:eastAsia="宋体"/>
                <w:kern w:val="0"/>
                <w:sz w:val="24"/>
                <w:szCs w:val="24"/>
              </w:rPr>
            </w:pPr>
          </w:p>
        </w:tc>
        <w:tc>
          <w:tcPr>
            <w:tcW w:w="2268" w:type="dxa"/>
            <w:gridSpan w:val="5"/>
            <w:tcBorders>
              <w:top w:val="nil"/>
              <w:left w:val="nil"/>
              <w:bottom w:val="single" w:color="auto" w:sz="4" w:space="0"/>
              <w:right w:val="nil"/>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填报时间：</w:t>
            </w:r>
          </w:p>
        </w:tc>
      </w:tr>
      <w:tr>
        <w:tblPrEx>
          <w:tblCellMar>
            <w:top w:w="0" w:type="dxa"/>
            <w:left w:w="108" w:type="dxa"/>
            <w:bottom w:w="0" w:type="dxa"/>
            <w:right w:w="108" w:type="dxa"/>
          </w:tblCellMar>
        </w:tblPrEx>
        <w:trPr>
          <w:trHeight w:val="1064" w:hRule="atLeast"/>
        </w:trPr>
        <w:tc>
          <w:tcPr>
            <w:tcW w:w="2694" w:type="dxa"/>
            <w:tcBorders>
              <w:top w:val="single" w:color="auto" w:sz="4" w:space="0"/>
              <w:left w:val="single" w:color="auto" w:sz="4" w:space="0"/>
              <w:bottom w:val="nil"/>
              <w:right w:val="single" w:color="auto" w:sz="4" w:space="0"/>
            </w:tcBorders>
            <w:shd w:val="clear" w:color="auto" w:fill="auto"/>
            <w:vAlign w:val="center"/>
          </w:tcPr>
          <w:p>
            <w:pPr>
              <w:widowControl/>
              <w:adjustRightInd w:val="0"/>
              <w:snapToGrid w:val="0"/>
              <w:jc w:val="center"/>
              <w:rPr>
                <w:rFonts w:ascii="黑体" w:hAnsi="黑体" w:eastAsia="黑体" w:cs="宋体"/>
                <w:kern w:val="0"/>
                <w:sz w:val="24"/>
                <w:szCs w:val="24"/>
              </w:rPr>
            </w:pPr>
            <w:r>
              <w:rPr>
                <w:rFonts w:hint="eastAsia" w:ascii="黑体" w:hAnsi="黑体" w:eastAsia="黑体" w:cs="宋体"/>
                <w:kern w:val="0"/>
                <w:sz w:val="24"/>
                <w:szCs w:val="24"/>
              </w:rPr>
              <w:t>专项行动</w:t>
            </w:r>
          </w:p>
        </w:tc>
        <w:tc>
          <w:tcPr>
            <w:tcW w:w="1275" w:type="dxa"/>
            <w:gridSpan w:val="3"/>
            <w:tcBorders>
              <w:top w:val="single" w:color="auto" w:sz="4" w:space="0"/>
              <w:left w:val="nil"/>
              <w:bottom w:val="nil"/>
              <w:right w:val="single" w:color="auto" w:sz="4" w:space="0"/>
            </w:tcBorders>
            <w:shd w:val="clear" w:color="auto" w:fill="auto"/>
            <w:vAlign w:val="center"/>
          </w:tcPr>
          <w:p>
            <w:pPr>
              <w:widowControl/>
              <w:adjustRightInd w:val="0"/>
              <w:snapToGrid w:val="0"/>
              <w:jc w:val="center"/>
              <w:rPr>
                <w:rFonts w:ascii="黑体" w:hAnsi="黑体" w:eastAsia="黑体" w:cs="宋体"/>
                <w:kern w:val="0"/>
                <w:sz w:val="24"/>
                <w:szCs w:val="24"/>
              </w:rPr>
            </w:pPr>
            <w:r>
              <w:rPr>
                <w:rFonts w:hint="eastAsia" w:ascii="黑体" w:hAnsi="黑体" w:eastAsia="黑体" w:cs="宋体"/>
                <w:kern w:val="0"/>
                <w:sz w:val="24"/>
                <w:szCs w:val="24"/>
              </w:rPr>
              <w:t>检查生产经营企业（家次）</w:t>
            </w:r>
          </w:p>
        </w:tc>
        <w:tc>
          <w:tcPr>
            <w:tcW w:w="1134" w:type="dxa"/>
            <w:gridSpan w:val="2"/>
            <w:tcBorders>
              <w:top w:val="single" w:color="auto" w:sz="4" w:space="0"/>
              <w:left w:val="nil"/>
              <w:bottom w:val="nil"/>
              <w:right w:val="single" w:color="auto" w:sz="4" w:space="0"/>
            </w:tcBorders>
            <w:shd w:val="clear" w:color="auto" w:fill="auto"/>
            <w:vAlign w:val="center"/>
          </w:tcPr>
          <w:p>
            <w:pPr>
              <w:widowControl/>
              <w:adjustRightInd w:val="0"/>
              <w:snapToGrid w:val="0"/>
              <w:jc w:val="center"/>
              <w:rPr>
                <w:rFonts w:ascii="黑体" w:hAnsi="黑体" w:eastAsia="黑体" w:cs="宋体"/>
                <w:kern w:val="0"/>
                <w:sz w:val="24"/>
                <w:szCs w:val="24"/>
              </w:rPr>
            </w:pPr>
            <w:r>
              <w:rPr>
                <w:rFonts w:hint="eastAsia" w:ascii="黑体" w:hAnsi="黑体" w:eastAsia="黑体" w:cs="宋体"/>
                <w:kern w:val="0"/>
                <w:sz w:val="24"/>
                <w:szCs w:val="24"/>
              </w:rPr>
              <w:t>出动执法人员（人次）</w:t>
            </w:r>
          </w:p>
        </w:tc>
        <w:tc>
          <w:tcPr>
            <w:tcW w:w="1134" w:type="dxa"/>
            <w:gridSpan w:val="3"/>
            <w:tcBorders>
              <w:top w:val="single" w:color="auto" w:sz="4" w:space="0"/>
              <w:left w:val="nil"/>
              <w:bottom w:val="nil"/>
              <w:right w:val="single" w:color="auto" w:sz="4" w:space="0"/>
            </w:tcBorders>
            <w:shd w:val="clear" w:color="auto" w:fill="auto"/>
            <w:vAlign w:val="center"/>
          </w:tcPr>
          <w:p>
            <w:pPr>
              <w:widowControl/>
              <w:adjustRightInd w:val="0"/>
              <w:snapToGrid w:val="0"/>
              <w:jc w:val="center"/>
              <w:rPr>
                <w:rFonts w:ascii="黑体" w:hAnsi="黑体" w:eastAsia="黑体" w:cs="宋体"/>
                <w:kern w:val="0"/>
                <w:sz w:val="24"/>
                <w:szCs w:val="24"/>
              </w:rPr>
            </w:pPr>
            <w:r>
              <w:rPr>
                <w:rFonts w:hint="eastAsia" w:ascii="黑体" w:hAnsi="黑体" w:eastAsia="黑体" w:cs="宋体"/>
                <w:kern w:val="0"/>
                <w:sz w:val="24"/>
                <w:szCs w:val="24"/>
              </w:rPr>
              <w:t>查处</w:t>
            </w:r>
          </w:p>
          <w:p>
            <w:pPr>
              <w:widowControl/>
              <w:adjustRightInd w:val="0"/>
              <w:snapToGrid w:val="0"/>
              <w:jc w:val="center"/>
              <w:rPr>
                <w:rFonts w:ascii="黑体" w:hAnsi="黑体" w:eastAsia="黑体" w:cs="宋体"/>
                <w:kern w:val="0"/>
                <w:sz w:val="24"/>
                <w:szCs w:val="24"/>
              </w:rPr>
            </w:pPr>
            <w:r>
              <w:rPr>
                <w:rFonts w:hint="eastAsia" w:ascii="黑体" w:hAnsi="黑体" w:eastAsia="黑体" w:cs="宋体"/>
                <w:kern w:val="0"/>
                <w:sz w:val="24"/>
                <w:szCs w:val="24"/>
              </w:rPr>
              <w:t>问题（起）</w:t>
            </w:r>
          </w:p>
        </w:tc>
        <w:tc>
          <w:tcPr>
            <w:tcW w:w="1134" w:type="dxa"/>
            <w:gridSpan w:val="3"/>
            <w:tcBorders>
              <w:top w:val="single" w:color="auto" w:sz="4" w:space="0"/>
              <w:left w:val="nil"/>
              <w:bottom w:val="nil"/>
              <w:right w:val="single" w:color="auto" w:sz="4" w:space="0"/>
            </w:tcBorders>
            <w:shd w:val="clear" w:color="auto" w:fill="auto"/>
            <w:vAlign w:val="center"/>
          </w:tcPr>
          <w:p>
            <w:pPr>
              <w:widowControl/>
              <w:adjustRightInd w:val="0"/>
              <w:snapToGrid w:val="0"/>
              <w:jc w:val="center"/>
              <w:rPr>
                <w:rFonts w:ascii="黑体" w:hAnsi="黑体" w:eastAsia="黑体" w:cs="宋体"/>
                <w:kern w:val="0"/>
                <w:sz w:val="24"/>
                <w:szCs w:val="24"/>
              </w:rPr>
            </w:pPr>
            <w:r>
              <w:rPr>
                <w:rFonts w:hint="eastAsia" w:ascii="黑体" w:hAnsi="黑体" w:eastAsia="黑体" w:cs="宋体"/>
                <w:kern w:val="0"/>
                <w:sz w:val="24"/>
                <w:szCs w:val="24"/>
              </w:rPr>
              <w:t>涉及</w:t>
            </w:r>
          </w:p>
          <w:p>
            <w:pPr>
              <w:widowControl/>
              <w:adjustRightInd w:val="0"/>
              <w:snapToGrid w:val="0"/>
              <w:jc w:val="center"/>
              <w:rPr>
                <w:rFonts w:ascii="黑体" w:hAnsi="黑体" w:eastAsia="黑体" w:cs="宋体"/>
                <w:kern w:val="0"/>
                <w:sz w:val="24"/>
                <w:szCs w:val="24"/>
              </w:rPr>
            </w:pPr>
            <w:r>
              <w:rPr>
                <w:rFonts w:hint="eastAsia" w:ascii="黑体" w:hAnsi="黑体" w:eastAsia="黑体" w:cs="宋体"/>
                <w:kern w:val="0"/>
                <w:sz w:val="24"/>
                <w:szCs w:val="24"/>
              </w:rPr>
              <w:t>金额</w:t>
            </w:r>
          </w:p>
          <w:p>
            <w:pPr>
              <w:widowControl/>
              <w:adjustRightInd w:val="0"/>
              <w:snapToGrid w:val="0"/>
              <w:jc w:val="center"/>
              <w:rPr>
                <w:rFonts w:ascii="黑体" w:hAnsi="黑体" w:eastAsia="黑体" w:cs="宋体"/>
                <w:kern w:val="0"/>
                <w:sz w:val="24"/>
                <w:szCs w:val="24"/>
              </w:rPr>
            </w:pPr>
            <w:r>
              <w:rPr>
                <w:rFonts w:hint="eastAsia" w:ascii="黑体" w:hAnsi="黑体" w:eastAsia="黑体" w:cs="宋体"/>
                <w:kern w:val="0"/>
                <w:sz w:val="24"/>
                <w:szCs w:val="24"/>
              </w:rPr>
              <w:t>（万元）</w:t>
            </w:r>
          </w:p>
        </w:tc>
        <w:tc>
          <w:tcPr>
            <w:tcW w:w="1134" w:type="dxa"/>
            <w:gridSpan w:val="2"/>
            <w:tcBorders>
              <w:top w:val="single" w:color="auto" w:sz="4" w:space="0"/>
              <w:left w:val="nil"/>
              <w:bottom w:val="nil"/>
              <w:right w:val="single" w:color="auto" w:sz="4" w:space="0"/>
            </w:tcBorders>
            <w:shd w:val="clear" w:color="auto" w:fill="auto"/>
            <w:vAlign w:val="center"/>
          </w:tcPr>
          <w:p>
            <w:pPr>
              <w:widowControl/>
              <w:adjustRightInd w:val="0"/>
              <w:snapToGrid w:val="0"/>
              <w:jc w:val="center"/>
              <w:rPr>
                <w:rFonts w:ascii="黑体" w:hAnsi="黑体" w:eastAsia="黑体" w:cs="宋体"/>
                <w:kern w:val="0"/>
                <w:sz w:val="24"/>
                <w:szCs w:val="24"/>
              </w:rPr>
            </w:pPr>
            <w:r>
              <w:rPr>
                <w:rFonts w:hint="eastAsia" w:ascii="黑体" w:hAnsi="黑体" w:eastAsia="黑体" w:cs="宋体"/>
                <w:kern w:val="0"/>
                <w:sz w:val="24"/>
                <w:szCs w:val="24"/>
              </w:rPr>
              <w:t>责令</w:t>
            </w:r>
          </w:p>
          <w:p>
            <w:pPr>
              <w:widowControl/>
              <w:adjustRightInd w:val="0"/>
              <w:snapToGrid w:val="0"/>
              <w:jc w:val="center"/>
              <w:rPr>
                <w:rFonts w:ascii="黑体" w:hAnsi="黑体" w:eastAsia="黑体" w:cs="宋体"/>
                <w:kern w:val="0"/>
                <w:sz w:val="24"/>
                <w:szCs w:val="24"/>
              </w:rPr>
            </w:pPr>
            <w:r>
              <w:rPr>
                <w:rFonts w:hint="eastAsia" w:ascii="黑体" w:hAnsi="黑体" w:eastAsia="黑体" w:cs="宋体"/>
                <w:kern w:val="0"/>
                <w:sz w:val="24"/>
                <w:szCs w:val="24"/>
              </w:rPr>
              <w:t>整改（起）</w:t>
            </w:r>
          </w:p>
        </w:tc>
        <w:tc>
          <w:tcPr>
            <w:tcW w:w="1134" w:type="dxa"/>
            <w:gridSpan w:val="3"/>
            <w:tcBorders>
              <w:top w:val="single" w:color="auto" w:sz="4" w:space="0"/>
              <w:left w:val="nil"/>
              <w:bottom w:val="nil"/>
              <w:right w:val="single" w:color="auto" w:sz="4" w:space="0"/>
            </w:tcBorders>
            <w:shd w:val="clear" w:color="auto" w:fill="auto"/>
            <w:vAlign w:val="center"/>
          </w:tcPr>
          <w:p>
            <w:pPr>
              <w:widowControl/>
              <w:adjustRightInd w:val="0"/>
              <w:snapToGrid w:val="0"/>
              <w:jc w:val="center"/>
              <w:rPr>
                <w:rFonts w:ascii="黑体" w:hAnsi="黑体" w:eastAsia="黑体" w:cs="宋体"/>
                <w:kern w:val="0"/>
                <w:sz w:val="24"/>
                <w:szCs w:val="24"/>
              </w:rPr>
            </w:pPr>
            <w:r>
              <w:rPr>
                <w:rFonts w:hint="eastAsia" w:ascii="黑体" w:hAnsi="黑体" w:eastAsia="黑体" w:cs="宋体"/>
                <w:kern w:val="0"/>
                <w:sz w:val="24"/>
                <w:szCs w:val="24"/>
              </w:rPr>
              <w:t>取缔无证照企业（家）</w:t>
            </w:r>
          </w:p>
        </w:tc>
        <w:tc>
          <w:tcPr>
            <w:tcW w:w="993" w:type="dxa"/>
            <w:gridSpan w:val="3"/>
            <w:tcBorders>
              <w:top w:val="single" w:color="auto" w:sz="4" w:space="0"/>
              <w:left w:val="nil"/>
              <w:bottom w:val="nil"/>
              <w:right w:val="single" w:color="auto" w:sz="4" w:space="0"/>
            </w:tcBorders>
            <w:shd w:val="clear" w:color="auto" w:fill="auto"/>
            <w:vAlign w:val="center"/>
          </w:tcPr>
          <w:p>
            <w:pPr>
              <w:widowControl/>
              <w:adjustRightInd w:val="0"/>
              <w:snapToGrid w:val="0"/>
              <w:jc w:val="center"/>
              <w:rPr>
                <w:rFonts w:ascii="黑体" w:hAnsi="黑体" w:eastAsia="黑体" w:cs="宋体"/>
                <w:kern w:val="0"/>
                <w:sz w:val="24"/>
                <w:szCs w:val="24"/>
              </w:rPr>
            </w:pPr>
            <w:r>
              <w:rPr>
                <w:rFonts w:hint="eastAsia" w:ascii="黑体" w:hAnsi="黑体" w:eastAsia="黑体" w:cs="宋体"/>
                <w:kern w:val="0"/>
                <w:sz w:val="24"/>
                <w:szCs w:val="24"/>
              </w:rPr>
              <w:t>吊销证照企业（家）</w:t>
            </w:r>
          </w:p>
        </w:tc>
        <w:tc>
          <w:tcPr>
            <w:tcW w:w="1134" w:type="dxa"/>
            <w:gridSpan w:val="2"/>
            <w:tcBorders>
              <w:top w:val="single" w:color="auto" w:sz="4" w:space="0"/>
              <w:left w:val="nil"/>
              <w:bottom w:val="nil"/>
              <w:right w:val="single" w:color="auto" w:sz="4" w:space="0"/>
            </w:tcBorders>
            <w:shd w:val="clear" w:color="auto" w:fill="auto"/>
            <w:vAlign w:val="center"/>
          </w:tcPr>
          <w:p>
            <w:pPr>
              <w:widowControl/>
              <w:adjustRightInd w:val="0"/>
              <w:snapToGrid w:val="0"/>
              <w:jc w:val="center"/>
              <w:rPr>
                <w:rFonts w:ascii="黑体" w:hAnsi="黑体" w:eastAsia="黑体" w:cs="宋体"/>
                <w:kern w:val="0"/>
                <w:sz w:val="24"/>
                <w:szCs w:val="24"/>
              </w:rPr>
            </w:pPr>
            <w:r>
              <w:rPr>
                <w:rFonts w:hint="eastAsia" w:ascii="黑体" w:hAnsi="黑体" w:eastAsia="黑体" w:cs="宋体"/>
                <w:kern w:val="0"/>
                <w:sz w:val="24"/>
                <w:szCs w:val="24"/>
              </w:rPr>
              <w:t>媒体</w:t>
            </w:r>
          </w:p>
          <w:p>
            <w:pPr>
              <w:widowControl/>
              <w:adjustRightInd w:val="0"/>
              <w:snapToGrid w:val="0"/>
              <w:jc w:val="center"/>
              <w:rPr>
                <w:rFonts w:ascii="黑体" w:hAnsi="黑体" w:eastAsia="黑体" w:cs="宋体"/>
                <w:kern w:val="0"/>
                <w:sz w:val="24"/>
                <w:szCs w:val="24"/>
              </w:rPr>
            </w:pPr>
            <w:r>
              <w:rPr>
                <w:rFonts w:hint="eastAsia" w:ascii="黑体" w:hAnsi="黑体" w:eastAsia="黑体" w:cs="宋体"/>
                <w:kern w:val="0"/>
                <w:sz w:val="24"/>
                <w:szCs w:val="24"/>
              </w:rPr>
              <w:t>宣传</w:t>
            </w:r>
          </w:p>
          <w:p>
            <w:pPr>
              <w:widowControl/>
              <w:adjustRightInd w:val="0"/>
              <w:snapToGrid w:val="0"/>
              <w:jc w:val="center"/>
              <w:rPr>
                <w:rFonts w:ascii="黑体" w:hAnsi="黑体" w:eastAsia="黑体" w:cs="宋体"/>
                <w:kern w:val="0"/>
                <w:sz w:val="24"/>
                <w:szCs w:val="24"/>
              </w:rPr>
            </w:pPr>
            <w:r>
              <w:rPr>
                <w:rFonts w:hint="eastAsia" w:ascii="黑体" w:hAnsi="黑体" w:eastAsia="黑体" w:cs="宋体"/>
                <w:kern w:val="0"/>
                <w:sz w:val="24"/>
                <w:szCs w:val="24"/>
              </w:rPr>
              <w:t>（次）</w:t>
            </w:r>
          </w:p>
        </w:tc>
        <w:tc>
          <w:tcPr>
            <w:tcW w:w="1134" w:type="dxa"/>
            <w:gridSpan w:val="3"/>
            <w:tcBorders>
              <w:top w:val="single" w:color="auto" w:sz="4" w:space="0"/>
              <w:left w:val="nil"/>
              <w:bottom w:val="nil"/>
              <w:right w:val="nil"/>
            </w:tcBorders>
            <w:shd w:val="clear" w:color="auto" w:fill="auto"/>
            <w:vAlign w:val="center"/>
          </w:tcPr>
          <w:p>
            <w:pPr>
              <w:widowControl/>
              <w:adjustRightInd w:val="0"/>
              <w:snapToGrid w:val="0"/>
              <w:jc w:val="center"/>
              <w:rPr>
                <w:rFonts w:ascii="黑体" w:hAnsi="黑体" w:eastAsia="黑体" w:cs="宋体"/>
                <w:kern w:val="0"/>
                <w:sz w:val="24"/>
                <w:szCs w:val="24"/>
              </w:rPr>
            </w:pPr>
            <w:r>
              <w:rPr>
                <w:rFonts w:hint="eastAsia" w:ascii="黑体" w:hAnsi="黑体" w:eastAsia="黑体" w:cs="宋体"/>
                <w:kern w:val="0"/>
                <w:sz w:val="24"/>
                <w:szCs w:val="24"/>
              </w:rPr>
              <w:t>发放宣传材料（份）</w:t>
            </w:r>
          </w:p>
        </w:tc>
        <w:tc>
          <w:tcPr>
            <w:tcW w:w="1134" w:type="dxa"/>
            <w:gridSpan w:val="3"/>
            <w:tcBorders>
              <w:top w:val="nil"/>
              <w:left w:val="single" w:color="auto" w:sz="4" w:space="0"/>
              <w:bottom w:val="nil"/>
              <w:right w:val="nil"/>
            </w:tcBorders>
            <w:shd w:val="clear" w:color="auto" w:fill="auto"/>
            <w:vAlign w:val="center"/>
          </w:tcPr>
          <w:p>
            <w:pPr>
              <w:widowControl/>
              <w:adjustRightInd w:val="0"/>
              <w:snapToGrid w:val="0"/>
              <w:jc w:val="center"/>
              <w:rPr>
                <w:rFonts w:ascii="黑体" w:hAnsi="黑体" w:eastAsia="黑体" w:cs="宋体"/>
                <w:kern w:val="0"/>
                <w:sz w:val="24"/>
                <w:szCs w:val="24"/>
              </w:rPr>
            </w:pPr>
            <w:r>
              <w:rPr>
                <w:rFonts w:hint="eastAsia" w:ascii="黑体" w:hAnsi="黑体" w:eastAsia="黑体" w:cs="宋体"/>
                <w:kern w:val="0"/>
                <w:sz w:val="24"/>
                <w:szCs w:val="24"/>
              </w:rPr>
              <w:t>指导</w:t>
            </w:r>
          </w:p>
          <w:p>
            <w:pPr>
              <w:widowControl/>
              <w:adjustRightInd w:val="0"/>
              <w:snapToGrid w:val="0"/>
              <w:jc w:val="center"/>
              <w:rPr>
                <w:rFonts w:ascii="黑体" w:hAnsi="黑体" w:eastAsia="黑体" w:cs="宋体"/>
                <w:kern w:val="0"/>
                <w:sz w:val="24"/>
                <w:szCs w:val="24"/>
              </w:rPr>
            </w:pPr>
            <w:r>
              <w:rPr>
                <w:rFonts w:hint="eastAsia" w:ascii="黑体" w:hAnsi="黑体" w:eastAsia="黑体" w:cs="宋体"/>
                <w:kern w:val="0"/>
                <w:sz w:val="24"/>
                <w:szCs w:val="24"/>
              </w:rPr>
              <w:t>培训</w:t>
            </w:r>
          </w:p>
          <w:p>
            <w:pPr>
              <w:widowControl/>
              <w:adjustRightInd w:val="0"/>
              <w:snapToGrid w:val="0"/>
              <w:jc w:val="center"/>
              <w:rPr>
                <w:rFonts w:ascii="黑体" w:hAnsi="黑体" w:eastAsia="黑体" w:cs="宋体"/>
                <w:kern w:val="0"/>
                <w:sz w:val="24"/>
                <w:szCs w:val="24"/>
              </w:rPr>
            </w:pPr>
            <w:r>
              <w:rPr>
                <w:rFonts w:hint="eastAsia" w:ascii="黑体" w:hAnsi="黑体" w:eastAsia="黑体" w:cs="宋体"/>
                <w:kern w:val="0"/>
                <w:sz w:val="24"/>
                <w:szCs w:val="24"/>
              </w:rPr>
              <w:t>（场次）</w:t>
            </w:r>
          </w:p>
        </w:tc>
        <w:tc>
          <w:tcPr>
            <w:tcW w:w="1134" w:type="dxa"/>
            <w:gridSpan w:val="2"/>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黑体" w:hAnsi="黑体" w:eastAsia="黑体" w:cs="宋体"/>
                <w:kern w:val="0"/>
                <w:sz w:val="24"/>
                <w:szCs w:val="24"/>
              </w:rPr>
            </w:pPr>
            <w:r>
              <w:rPr>
                <w:rFonts w:hint="eastAsia" w:ascii="黑体" w:hAnsi="黑体" w:eastAsia="黑体" w:cs="宋体"/>
                <w:kern w:val="0"/>
                <w:sz w:val="24"/>
                <w:szCs w:val="24"/>
              </w:rPr>
              <w:t>指导</w:t>
            </w:r>
          </w:p>
          <w:p>
            <w:pPr>
              <w:widowControl/>
              <w:adjustRightInd w:val="0"/>
              <w:snapToGrid w:val="0"/>
              <w:jc w:val="center"/>
              <w:rPr>
                <w:rFonts w:ascii="黑体" w:hAnsi="黑体" w:eastAsia="黑体" w:cs="宋体"/>
                <w:kern w:val="0"/>
                <w:sz w:val="24"/>
                <w:szCs w:val="24"/>
              </w:rPr>
            </w:pPr>
            <w:r>
              <w:rPr>
                <w:rFonts w:hint="eastAsia" w:ascii="黑体" w:hAnsi="黑体" w:eastAsia="黑体" w:cs="宋体"/>
                <w:kern w:val="0"/>
                <w:sz w:val="24"/>
                <w:szCs w:val="24"/>
              </w:rPr>
              <w:t>培训</w:t>
            </w:r>
          </w:p>
          <w:p>
            <w:pPr>
              <w:widowControl/>
              <w:adjustRightInd w:val="0"/>
              <w:snapToGrid w:val="0"/>
              <w:jc w:val="center"/>
              <w:rPr>
                <w:rFonts w:ascii="黑体" w:hAnsi="黑体" w:eastAsia="黑体" w:cs="宋体"/>
                <w:kern w:val="0"/>
                <w:sz w:val="24"/>
                <w:szCs w:val="24"/>
              </w:rPr>
            </w:pPr>
            <w:r>
              <w:rPr>
                <w:rFonts w:hint="eastAsia" w:ascii="黑体" w:hAnsi="黑体" w:eastAsia="黑体" w:cs="宋体"/>
                <w:kern w:val="0"/>
                <w:sz w:val="24"/>
                <w:szCs w:val="24"/>
              </w:rPr>
              <w:t>（人次）</w:t>
            </w:r>
          </w:p>
        </w:tc>
      </w:tr>
      <w:tr>
        <w:tblPrEx>
          <w:tblCellMar>
            <w:top w:w="0" w:type="dxa"/>
            <w:left w:w="108" w:type="dxa"/>
            <w:bottom w:w="0" w:type="dxa"/>
            <w:right w:w="108" w:type="dxa"/>
          </w:tblCellMar>
        </w:tblPrEx>
        <w:trPr>
          <w:trHeight w:val="623" w:hRule="atLeast"/>
        </w:trPr>
        <w:tc>
          <w:tcPr>
            <w:tcW w:w="26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农药及农药使用专项整治行动</w:t>
            </w:r>
          </w:p>
        </w:tc>
        <w:tc>
          <w:tcPr>
            <w:tcW w:w="1275" w:type="dxa"/>
            <w:gridSpan w:val="3"/>
            <w:tcBorders>
              <w:top w:val="single" w:color="auto" w:sz="4" w:space="0"/>
              <w:left w:val="nil"/>
              <w:bottom w:val="single" w:color="auto" w:sz="4" w:space="0"/>
              <w:right w:val="single" w:color="auto" w:sz="4" w:space="0"/>
            </w:tcBorders>
            <w:shd w:val="clear" w:color="auto" w:fill="auto"/>
            <w:noWrap/>
            <w:vAlign w:val="center"/>
          </w:tcPr>
          <w:p>
            <w:pPr>
              <w:widowControl/>
              <w:adjustRightInd w:val="0"/>
              <w:snapToGrid w:val="0"/>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gridSpan w:val="2"/>
            <w:tcBorders>
              <w:top w:val="single" w:color="auto" w:sz="4" w:space="0"/>
              <w:left w:val="nil"/>
              <w:bottom w:val="single" w:color="auto" w:sz="4" w:space="0"/>
              <w:right w:val="single" w:color="auto" w:sz="4" w:space="0"/>
            </w:tcBorders>
            <w:shd w:val="clear" w:color="auto" w:fill="auto"/>
            <w:noWrap/>
            <w:vAlign w:val="center"/>
          </w:tcPr>
          <w:p>
            <w:pPr>
              <w:widowControl/>
              <w:adjustRightInd w:val="0"/>
              <w:snapToGrid w:val="0"/>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gridSpan w:val="3"/>
            <w:tcBorders>
              <w:top w:val="single" w:color="auto" w:sz="4" w:space="0"/>
              <w:left w:val="nil"/>
              <w:bottom w:val="single" w:color="auto" w:sz="4" w:space="0"/>
              <w:right w:val="single" w:color="auto" w:sz="4" w:space="0"/>
            </w:tcBorders>
            <w:shd w:val="clear" w:color="auto" w:fill="auto"/>
            <w:noWrap/>
            <w:vAlign w:val="center"/>
          </w:tcPr>
          <w:p>
            <w:pPr>
              <w:widowControl/>
              <w:adjustRightInd w:val="0"/>
              <w:snapToGrid w:val="0"/>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gridSpan w:val="3"/>
            <w:tcBorders>
              <w:top w:val="single" w:color="auto" w:sz="4" w:space="0"/>
              <w:left w:val="nil"/>
              <w:bottom w:val="single" w:color="auto" w:sz="4" w:space="0"/>
              <w:right w:val="single" w:color="auto" w:sz="4" w:space="0"/>
            </w:tcBorders>
            <w:shd w:val="clear" w:color="auto" w:fill="auto"/>
            <w:noWrap/>
            <w:vAlign w:val="center"/>
          </w:tcPr>
          <w:p>
            <w:pPr>
              <w:widowControl/>
              <w:adjustRightInd w:val="0"/>
              <w:snapToGrid w:val="0"/>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gridSpan w:val="2"/>
            <w:tcBorders>
              <w:top w:val="single" w:color="auto" w:sz="4" w:space="0"/>
              <w:left w:val="nil"/>
              <w:bottom w:val="single" w:color="auto" w:sz="4" w:space="0"/>
              <w:right w:val="single" w:color="auto" w:sz="4" w:space="0"/>
            </w:tcBorders>
            <w:shd w:val="clear" w:color="auto" w:fill="auto"/>
            <w:noWrap/>
            <w:vAlign w:val="center"/>
          </w:tcPr>
          <w:p>
            <w:pPr>
              <w:widowControl/>
              <w:adjustRightInd w:val="0"/>
              <w:snapToGrid w:val="0"/>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gridSpan w:val="3"/>
            <w:tcBorders>
              <w:top w:val="single" w:color="auto" w:sz="4" w:space="0"/>
              <w:left w:val="nil"/>
              <w:bottom w:val="single" w:color="auto" w:sz="4" w:space="0"/>
              <w:right w:val="single" w:color="auto" w:sz="4" w:space="0"/>
            </w:tcBorders>
            <w:shd w:val="clear" w:color="auto" w:fill="auto"/>
            <w:noWrap/>
            <w:vAlign w:val="center"/>
          </w:tcPr>
          <w:p>
            <w:pPr>
              <w:widowControl/>
              <w:adjustRightInd w:val="0"/>
              <w:snapToGrid w:val="0"/>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993" w:type="dxa"/>
            <w:gridSpan w:val="3"/>
            <w:tcBorders>
              <w:top w:val="single" w:color="auto" w:sz="4" w:space="0"/>
              <w:left w:val="nil"/>
              <w:bottom w:val="single" w:color="auto" w:sz="4" w:space="0"/>
              <w:right w:val="single" w:color="auto" w:sz="4" w:space="0"/>
            </w:tcBorders>
            <w:shd w:val="clear" w:color="auto" w:fill="auto"/>
            <w:noWrap/>
            <w:vAlign w:val="center"/>
          </w:tcPr>
          <w:p>
            <w:pPr>
              <w:widowControl/>
              <w:adjustRightInd w:val="0"/>
              <w:snapToGrid w:val="0"/>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gridSpan w:val="2"/>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gridSpan w:val="3"/>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gridSpan w:val="3"/>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gridSpan w:val="2"/>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623" w:hRule="atLeast"/>
        </w:trPr>
        <w:tc>
          <w:tcPr>
            <w:tcW w:w="2694"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“瘦肉精”专项整治</w:t>
            </w:r>
          </w:p>
          <w:p>
            <w:pPr>
              <w:widowControl/>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行动</w:t>
            </w: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adjustRightInd w:val="0"/>
              <w:snapToGrid w:val="0"/>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gridSpan w:val="2"/>
            <w:tcBorders>
              <w:top w:val="nil"/>
              <w:left w:val="nil"/>
              <w:bottom w:val="single" w:color="auto" w:sz="4" w:space="0"/>
              <w:right w:val="single" w:color="auto" w:sz="4" w:space="0"/>
            </w:tcBorders>
            <w:shd w:val="clear" w:color="auto" w:fill="auto"/>
            <w:noWrap/>
            <w:vAlign w:val="center"/>
          </w:tcPr>
          <w:p>
            <w:pPr>
              <w:widowControl/>
              <w:adjustRightInd w:val="0"/>
              <w:snapToGrid w:val="0"/>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gridSpan w:val="3"/>
            <w:tcBorders>
              <w:top w:val="nil"/>
              <w:left w:val="nil"/>
              <w:bottom w:val="single" w:color="auto" w:sz="4" w:space="0"/>
              <w:right w:val="single" w:color="auto" w:sz="4" w:space="0"/>
            </w:tcBorders>
            <w:shd w:val="clear" w:color="auto" w:fill="auto"/>
            <w:noWrap/>
            <w:vAlign w:val="center"/>
          </w:tcPr>
          <w:p>
            <w:pPr>
              <w:widowControl/>
              <w:adjustRightInd w:val="0"/>
              <w:snapToGrid w:val="0"/>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gridSpan w:val="3"/>
            <w:tcBorders>
              <w:top w:val="nil"/>
              <w:left w:val="nil"/>
              <w:bottom w:val="single" w:color="auto" w:sz="4" w:space="0"/>
              <w:right w:val="single" w:color="auto" w:sz="4" w:space="0"/>
            </w:tcBorders>
            <w:shd w:val="clear" w:color="auto" w:fill="auto"/>
            <w:noWrap/>
            <w:vAlign w:val="center"/>
          </w:tcPr>
          <w:p>
            <w:pPr>
              <w:widowControl/>
              <w:adjustRightInd w:val="0"/>
              <w:snapToGrid w:val="0"/>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gridSpan w:val="2"/>
            <w:tcBorders>
              <w:top w:val="nil"/>
              <w:left w:val="nil"/>
              <w:bottom w:val="single" w:color="auto" w:sz="4" w:space="0"/>
              <w:right w:val="single" w:color="auto" w:sz="4" w:space="0"/>
            </w:tcBorders>
            <w:shd w:val="clear" w:color="auto" w:fill="auto"/>
            <w:noWrap/>
            <w:vAlign w:val="center"/>
          </w:tcPr>
          <w:p>
            <w:pPr>
              <w:widowControl/>
              <w:adjustRightInd w:val="0"/>
              <w:snapToGrid w:val="0"/>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gridSpan w:val="3"/>
            <w:tcBorders>
              <w:top w:val="nil"/>
              <w:left w:val="nil"/>
              <w:bottom w:val="single" w:color="auto" w:sz="4" w:space="0"/>
              <w:right w:val="single" w:color="auto" w:sz="4" w:space="0"/>
            </w:tcBorders>
            <w:shd w:val="clear" w:color="auto" w:fill="auto"/>
            <w:noWrap/>
            <w:vAlign w:val="center"/>
          </w:tcPr>
          <w:p>
            <w:pPr>
              <w:widowControl/>
              <w:adjustRightInd w:val="0"/>
              <w:snapToGrid w:val="0"/>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993" w:type="dxa"/>
            <w:gridSpan w:val="3"/>
            <w:tcBorders>
              <w:top w:val="nil"/>
              <w:left w:val="nil"/>
              <w:bottom w:val="single" w:color="auto" w:sz="4" w:space="0"/>
              <w:right w:val="single" w:color="auto" w:sz="4" w:space="0"/>
            </w:tcBorders>
            <w:shd w:val="clear" w:color="auto" w:fill="auto"/>
            <w:noWrap/>
            <w:vAlign w:val="center"/>
          </w:tcPr>
          <w:p>
            <w:pPr>
              <w:widowControl/>
              <w:adjustRightInd w:val="0"/>
              <w:snapToGrid w:val="0"/>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gridSpan w:val="2"/>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gridSpan w:val="3"/>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gridSpan w:val="3"/>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gridSpan w:val="2"/>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623" w:hRule="atLeast"/>
        </w:trPr>
        <w:tc>
          <w:tcPr>
            <w:tcW w:w="2694"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生鲜乳违禁物质专项</w:t>
            </w:r>
          </w:p>
          <w:p>
            <w:pPr>
              <w:widowControl/>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整治行动</w:t>
            </w: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adjustRightInd w:val="0"/>
              <w:snapToGrid w:val="0"/>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gridSpan w:val="2"/>
            <w:tcBorders>
              <w:top w:val="nil"/>
              <w:left w:val="nil"/>
              <w:bottom w:val="single" w:color="auto" w:sz="4" w:space="0"/>
              <w:right w:val="single" w:color="auto" w:sz="4" w:space="0"/>
            </w:tcBorders>
            <w:shd w:val="clear" w:color="auto" w:fill="auto"/>
            <w:noWrap/>
            <w:vAlign w:val="center"/>
          </w:tcPr>
          <w:p>
            <w:pPr>
              <w:widowControl/>
              <w:adjustRightInd w:val="0"/>
              <w:snapToGrid w:val="0"/>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gridSpan w:val="3"/>
            <w:tcBorders>
              <w:top w:val="nil"/>
              <w:left w:val="nil"/>
              <w:bottom w:val="single" w:color="auto" w:sz="4" w:space="0"/>
              <w:right w:val="single" w:color="auto" w:sz="4" w:space="0"/>
            </w:tcBorders>
            <w:shd w:val="clear" w:color="auto" w:fill="auto"/>
            <w:noWrap/>
            <w:vAlign w:val="center"/>
          </w:tcPr>
          <w:p>
            <w:pPr>
              <w:widowControl/>
              <w:adjustRightInd w:val="0"/>
              <w:snapToGrid w:val="0"/>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gridSpan w:val="3"/>
            <w:tcBorders>
              <w:top w:val="nil"/>
              <w:left w:val="nil"/>
              <w:bottom w:val="single" w:color="auto" w:sz="4" w:space="0"/>
              <w:right w:val="single" w:color="auto" w:sz="4" w:space="0"/>
            </w:tcBorders>
            <w:shd w:val="clear" w:color="auto" w:fill="auto"/>
            <w:noWrap/>
            <w:vAlign w:val="center"/>
          </w:tcPr>
          <w:p>
            <w:pPr>
              <w:widowControl/>
              <w:adjustRightInd w:val="0"/>
              <w:snapToGrid w:val="0"/>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gridSpan w:val="2"/>
            <w:tcBorders>
              <w:top w:val="nil"/>
              <w:left w:val="nil"/>
              <w:bottom w:val="single" w:color="auto" w:sz="4" w:space="0"/>
              <w:right w:val="single" w:color="auto" w:sz="4" w:space="0"/>
            </w:tcBorders>
            <w:shd w:val="clear" w:color="auto" w:fill="auto"/>
            <w:noWrap/>
            <w:vAlign w:val="center"/>
          </w:tcPr>
          <w:p>
            <w:pPr>
              <w:widowControl/>
              <w:adjustRightInd w:val="0"/>
              <w:snapToGrid w:val="0"/>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gridSpan w:val="3"/>
            <w:tcBorders>
              <w:top w:val="nil"/>
              <w:left w:val="nil"/>
              <w:bottom w:val="single" w:color="auto" w:sz="4" w:space="0"/>
              <w:right w:val="single" w:color="auto" w:sz="4" w:space="0"/>
            </w:tcBorders>
            <w:shd w:val="clear" w:color="auto" w:fill="auto"/>
            <w:noWrap/>
            <w:vAlign w:val="center"/>
          </w:tcPr>
          <w:p>
            <w:pPr>
              <w:widowControl/>
              <w:adjustRightInd w:val="0"/>
              <w:snapToGrid w:val="0"/>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993" w:type="dxa"/>
            <w:gridSpan w:val="3"/>
            <w:tcBorders>
              <w:top w:val="nil"/>
              <w:left w:val="nil"/>
              <w:bottom w:val="single" w:color="auto" w:sz="4" w:space="0"/>
              <w:right w:val="single" w:color="auto" w:sz="4" w:space="0"/>
            </w:tcBorders>
            <w:shd w:val="clear" w:color="auto" w:fill="auto"/>
            <w:noWrap/>
            <w:vAlign w:val="center"/>
          </w:tcPr>
          <w:p>
            <w:pPr>
              <w:widowControl/>
              <w:adjustRightInd w:val="0"/>
              <w:snapToGrid w:val="0"/>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gridSpan w:val="2"/>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gridSpan w:val="3"/>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gridSpan w:val="3"/>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gridSpan w:val="2"/>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623" w:hRule="atLeast"/>
        </w:trPr>
        <w:tc>
          <w:tcPr>
            <w:tcW w:w="2694"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兽用抗菌药专项整治</w:t>
            </w:r>
          </w:p>
          <w:p>
            <w:pPr>
              <w:widowControl/>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行动</w:t>
            </w: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adjustRightInd w:val="0"/>
              <w:snapToGrid w:val="0"/>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gridSpan w:val="2"/>
            <w:tcBorders>
              <w:top w:val="nil"/>
              <w:left w:val="nil"/>
              <w:bottom w:val="single" w:color="auto" w:sz="4" w:space="0"/>
              <w:right w:val="single" w:color="auto" w:sz="4" w:space="0"/>
            </w:tcBorders>
            <w:shd w:val="clear" w:color="auto" w:fill="auto"/>
            <w:noWrap/>
            <w:vAlign w:val="center"/>
          </w:tcPr>
          <w:p>
            <w:pPr>
              <w:widowControl/>
              <w:adjustRightInd w:val="0"/>
              <w:snapToGrid w:val="0"/>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gridSpan w:val="3"/>
            <w:tcBorders>
              <w:top w:val="nil"/>
              <w:left w:val="nil"/>
              <w:bottom w:val="single" w:color="auto" w:sz="4" w:space="0"/>
              <w:right w:val="single" w:color="auto" w:sz="4" w:space="0"/>
            </w:tcBorders>
            <w:shd w:val="clear" w:color="auto" w:fill="auto"/>
            <w:noWrap/>
            <w:vAlign w:val="center"/>
          </w:tcPr>
          <w:p>
            <w:pPr>
              <w:widowControl/>
              <w:adjustRightInd w:val="0"/>
              <w:snapToGrid w:val="0"/>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gridSpan w:val="3"/>
            <w:tcBorders>
              <w:top w:val="nil"/>
              <w:left w:val="nil"/>
              <w:bottom w:val="single" w:color="auto" w:sz="4" w:space="0"/>
              <w:right w:val="single" w:color="auto" w:sz="4" w:space="0"/>
            </w:tcBorders>
            <w:shd w:val="clear" w:color="auto" w:fill="auto"/>
            <w:noWrap/>
            <w:vAlign w:val="center"/>
          </w:tcPr>
          <w:p>
            <w:pPr>
              <w:widowControl/>
              <w:adjustRightInd w:val="0"/>
              <w:snapToGrid w:val="0"/>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gridSpan w:val="2"/>
            <w:tcBorders>
              <w:top w:val="nil"/>
              <w:left w:val="nil"/>
              <w:bottom w:val="single" w:color="auto" w:sz="4" w:space="0"/>
              <w:right w:val="single" w:color="auto" w:sz="4" w:space="0"/>
            </w:tcBorders>
            <w:shd w:val="clear" w:color="auto" w:fill="auto"/>
            <w:noWrap/>
            <w:vAlign w:val="center"/>
          </w:tcPr>
          <w:p>
            <w:pPr>
              <w:widowControl/>
              <w:adjustRightInd w:val="0"/>
              <w:snapToGrid w:val="0"/>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gridSpan w:val="3"/>
            <w:tcBorders>
              <w:top w:val="nil"/>
              <w:left w:val="nil"/>
              <w:bottom w:val="single" w:color="auto" w:sz="4" w:space="0"/>
              <w:right w:val="single" w:color="auto" w:sz="4" w:space="0"/>
            </w:tcBorders>
            <w:shd w:val="clear" w:color="auto" w:fill="auto"/>
            <w:noWrap/>
            <w:vAlign w:val="center"/>
          </w:tcPr>
          <w:p>
            <w:pPr>
              <w:widowControl/>
              <w:adjustRightInd w:val="0"/>
              <w:snapToGrid w:val="0"/>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993" w:type="dxa"/>
            <w:gridSpan w:val="3"/>
            <w:tcBorders>
              <w:top w:val="nil"/>
              <w:left w:val="nil"/>
              <w:bottom w:val="single" w:color="auto" w:sz="4" w:space="0"/>
              <w:right w:val="single" w:color="auto" w:sz="4" w:space="0"/>
            </w:tcBorders>
            <w:shd w:val="clear" w:color="auto" w:fill="auto"/>
            <w:noWrap/>
            <w:vAlign w:val="center"/>
          </w:tcPr>
          <w:p>
            <w:pPr>
              <w:widowControl/>
              <w:adjustRightInd w:val="0"/>
              <w:snapToGrid w:val="0"/>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gridSpan w:val="2"/>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gridSpan w:val="3"/>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gridSpan w:val="3"/>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gridSpan w:val="2"/>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623" w:hRule="atLeast"/>
        </w:trPr>
        <w:tc>
          <w:tcPr>
            <w:tcW w:w="2694"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生猪屠宰专项整治行动</w:t>
            </w: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adjustRightInd w:val="0"/>
              <w:snapToGrid w:val="0"/>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gridSpan w:val="2"/>
            <w:tcBorders>
              <w:top w:val="nil"/>
              <w:left w:val="nil"/>
              <w:bottom w:val="single" w:color="auto" w:sz="4" w:space="0"/>
              <w:right w:val="single" w:color="auto" w:sz="4" w:space="0"/>
            </w:tcBorders>
            <w:shd w:val="clear" w:color="auto" w:fill="auto"/>
            <w:noWrap/>
            <w:vAlign w:val="center"/>
          </w:tcPr>
          <w:p>
            <w:pPr>
              <w:widowControl/>
              <w:adjustRightInd w:val="0"/>
              <w:snapToGrid w:val="0"/>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gridSpan w:val="3"/>
            <w:tcBorders>
              <w:top w:val="nil"/>
              <w:left w:val="nil"/>
              <w:bottom w:val="single" w:color="auto" w:sz="4" w:space="0"/>
              <w:right w:val="single" w:color="auto" w:sz="4" w:space="0"/>
            </w:tcBorders>
            <w:shd w:val="clear" w:color="auto" w:fill="auto"/>
            <w:noWrap/>
            <w:vAlign w:val="center"/>
          </w:tcPr>
          <w:p>
            <w:pPr>
              <w:widowControl/>
              <w:adjustRightInd w:val="0"/>
              <w:snapToGrid w:val="0"/>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gridSpan w:val="3"/>
            <w:tcBorders>
              <w:top w:val="nil"/>
              <w:left w:val="nil"/>
              <w:bottom w:val="single" w:color="auto" w:sz="4" w:space="0"/>
              <w:right w:val="single" w:color="auto" w:sz="4" w:space="0"/>
            </w:tcBorders>
            <w:shd w:val="clear" w:color="auto" w:fill="auto"/>
            <w:noWrap/>
            <w:vAlign w:val="center"/>
          </w:tcPr>
          <w:p>
            <w:pPr>
              <w:widowControl/>
              <w:adjustRightInd w:val="0"/>
              <w:snapToGrid w:val="0"/>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gridSpan w:val="2"/>
            <w:tcBorders>
              <w:top w:val="nil"/>
              <w:left w:val="nil"/>
              <w:bottom w:val="single" w:color="auto" w:sz="4" w:space="0"/>
              <w:right w:val="single" w:color="auto" w:sz="4" w:space="0"/>
            </w:tcBorders>
            <w:shd w:val="clear" w:color="auto" w:fill="auto"/>
            <w:noWrap/>
            <w:vAlign w:val="center"/>
          </w:tcPr>
          <w:p>
            <w:pPr>
              <w:widowControl/>
              <w:adjustRightInd w:val="0"/>
              <w:snapToGrid w:val="0"/>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gridSpan w:val="3"/>
            <w:tcBorders>
              <w:top w:val="nil"/>
              <w:left w:val="nil"/>
              <w:bottom w:val="single" w:color="auto" w:sz="4" w:space="0"/>
              <w:right w:val="single" w:color="auto" w:sz="4" w:space="0"/>
            </w:tcBorders>
            <w:shd w:val="clear" w:color="auto" w:fill="auto"/>
            <w:noWrap/>
            <w:vAlign w:val="center"/>
          </w:tcPr>
          <w:p>
            <w:pPr>
              <w:widowControl/>
              <w:adjustRightInd w:val="0"/>
              <w:snapToGrid w:val="0"/>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993" w:type="dxa"/>
            <w:gridSpan w:val="3"/>
            <w:tcBorders>
              <w:top w:val="nil"/>
              <w:left w:val="nil"/>
              <w:bottom w:val="single" w:color="auto" w:sz="4" w:space="0"/>
              <w:right w:val="single" w:color="auto" w:sz="4" w:space="0"/>
            </w:tcBorders>
            <w:shd w:val="clear" w:color="auto" w:fill="auto"/>
            <w:noWrap/>
            <w:vAlign w:val="center"/>
          </w:tcPr>
          <w:p>
            <w:pPr>
              <w:widowControl/>
              <w:adjustRightInd w:val="0"/>
              <w:snapToGrid w:val="0"/>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gridSpan w:val="2"/>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gridSpan w:val="3"/>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gridSpan w:val="3"/>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gridSpan w:val="2"/>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623" w:hRule="atLeast"/>
        </w:trPr>
        <w:tc>
          <w:tcPr>
            <w:tcW w:w="2694"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水产品禁用药物和有毒物质专项整治行动</w:t>
            </w: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adjustRightInd w:val="0"/>
              <w:snapToGrid w:val="0"/>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gridSpan w:val="2"/>
            <w:tcBorders>
              <w:top w:val="nil"/>
              <w:left w:val="nil"/>
              <w:bottom w:val="single" w:color="auto" w:sz="4" w:space="0"/>
              <w:right w:val="single" w:color="auto" w:sz="4" w:space="0"/>
            </w:tcBorders>
            <w:shd w:val="clear" w:color="auto" w:fill="auto"/>
            <w:noWrap/>
            <w:vAlign w:val="center"/>
          </w:tcPr>
          <w:p>
            <w:pPr>
              <w:widowControl/>
              <w:adjustRightInd w:val="0"/>
              <w:snapToGrid w:val="0"/>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gridSpan w:val="3"/>
            <w:tcBorders>
              <w:top w:val="nil"/>
              <w:left w:val="nil"/>
              <w:bottom w:val="single" w:color="auto" w:sz="4" w:space="0"/>
              <w:right w:val="single" w:color="auto" w:sz="4" w:space="0"/>
            </w:tcBorders>
            <w:shd w:val="clear" w:color="auto" w:fill="auto"/>
            <w:noWrap/>
            <w:vAlign w:val="center"/>
          </w:tcPr>
          <w:p>
            <w:pPr>
              <w:widowControl/>
              <w:adjustRightInd w:val="0"/>
              <w:snapToGrid w:val="0"/>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gridSpan w:val="3"/>
            <w:tcBorders>
              <w:top w:val="nil"/>
              <w:left w:val="nil"/>
              <w:bottom w:val="single" w:color="auto" w:sz="4" w:space="0"/>
              <w:right w:val="single" w:color="auto" w:sz="4" w:space="0"/>
            </w:tcBorders>
            <w:shd w:val="clear" w:color="auto" w:fill="auto"/>
            <w:noWrap/>
            <w:vAlign w:val="center"/>
          </w:tcPr>
          <w:p>
            <w:pPr>
              <w:widowControl/>
              <w:adjustRightInd w:val="0"/>
              <w:snapToGrid w:val="0"/>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gridSpan w:val="2"/>
            <w:tcBorders>
              <w:top w:val="nil"/>
              <w:left w:val="nil"/>
              <w:bottom w:val="single" w:color="auto" w:sz="4" w:space="0"/>
              <w:right w:val="single" w:color="auto" w:sz="4" w:space="0"/>
            </w:tcBorders>
            <w:shd w:val="clear" w:color="auto" w:fill="auto"/>
            <w:noWrap/>
            <w:vAlign w:val="center"/>
          </w:tcPr>
          <w:p>
            <w:pPr>
              <w:widowControl/>
              <w:adjustRightInd w:val="0"/>
              <w:snapToGrid w:val="0"/>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gridSpan w:val="3"/>
            <w:tcBorders>
              <w:top w:val="nil"/>
              <w:left w:val="nil"/>
              <w:bottom w:val="single" w:color="auto" w:sz="4" w:space="0"/>
              <w:right w:val="single" w:color="auto" w:sz="4" w:space="0"/>
            </w:tcBorders>
            <w:shd w:val="clear" w:color="auto" w:fill="auto"/>
            <w:noWrap/>
            <w:vAlign w:val="center"/>
          </w:tcPr>
          <w:p>
            <w:pPr>
              <w:widowControl/>
              <w:adjustRightInd w:val="0"/>
              <w:snapToGrid w:val="0"/>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993" w:type="dxa"/>
            <w:gridSpan w:val="3"/>
            <w:tcBorders>
              <w:top w:val="nil"/>
              <w:left w:val="nil"/>
              <w:bottom w:val="single" w:color="auto" w:sz="4" w:space="0"/>
              <w:right w:val="single" w:color="auto" w:sz="4" w:space="0"/>
            </w:tcBorders>
            <w:shd w:val="clear" w:color="auto" w:fill="auto"/>
            <w:noWrap/>
            <w:vAlign w:val="center"/>
          </w:tcPr>
          <w:p>
            <w:pPr>
              <w:widowControl/>
              <w:adjustRightInd w:val="0"/>
              <w:snapToGrid w:val="0"/>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gridSpan w:val="2"/>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gridSpan w:val="3"/>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gridSpan w:val="3"/>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gridSpan w:val="2"/>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623" w:hRule="atLeast"/>
        </w:trPr>
        <w:tc>
          <w:tcPr>
            <w:tcW w:w="2694"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合  计</w:t>
            </w:r>
          </w:p>
        </w:tc>
        <w:tc>
          <w:tcPr>
            <w:tcW w:w="1275" w:type="dxa"/>
            <w:gridSpan w:val="3"/>
            <w:tcBorders>
              <w:top w:val="nil"/>
              <w:left w:val="nil"/>
              <w:bottom w:val="single" w:color="auto" w:sz="4" w:space="0"/>
              <w:right w:val="single" w:color="auto" w:sz="4" w:space="0"/>
            </w:tcBorders>
            <w:shd w:val="clear" w:color="auto" w:fill="auto"/>
            <w:noWrap/>
            <w:vAlign w:val="center"/>
          </w:tcPr>
          <w:p>
            <w:pPr>
              <w:widowControl/>
              <w:adjustRightInd w:val="0"/>
              <w:snapToGrid w:val="0"/>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gridSpan w:val="2"/>
            <w:tcBorders>
              <w:top w:val="nil"/>
              <w:left w:val="nil"/>
              <w:bottom w:val="single" w:color="auto" w:sz="4" w:space="0"/>
              <w:right w:val="single" w:color="auto" w:sz="4" w:space="0"/>
            </w:tcBorders>
            <w:shd w:val="clear" w:color="auto" w:fill="auto"/>
            <w:noWrap/>
            <w:vAlign w:val="center"/>
          </w:tcPr>
          <w:p>
            <w:pPr>
              <w:widowControl/>
              <w:adjustRightInd w:val="0"/>
              <w:snapToGrid w:val="0"/>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gridSpan w:val="3"/>
            <w:tcBorders>
              <w:top w:val="nil"/>
              <w:left w:val="nil"/>
              <w:bottom w:val="single" w:color="auto" w:sz="4" w:space="0"/>
              <w:right w:val="single" w:color="auto" w:sz="4" w:space="0"/>
            </w:tcBorders>
            <w:shd w:val="clear" w:color="auto" w:fill="auto"/>
            <w:noWrap/>
            <w:vAlign w:val="center"/>
          </w:tcPr>
          <w:p>
            <w:pPr>
              <w:widowControl/>
              <w:adjustRightInd w:val="0"/>
              <w:snapToGrid w:val="0"/>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gridSpan w:val="3"/>
            <w:tcBorders>
              <w:top w:val="nil"/>
              <w:left w:val="nil"/>
              <w:bottom w:val="single" w:color="auto" w:sz="4" w:space="0"/>
              <w:right w:val="single" w:color="auto" w:sz="4" w:space="0"/>
            </w:tcBorders>
            <w:shd w:val="clear" w:color="auto" w:fill="auto"/>
            <w:noWrap/>
            <w:vAlign w:val="center"/>
          </w:tcPr>
          <w:p>
            <w:pPr>
              <w:widowControl/>
              <w:adjustRightInd w:val="0"/>
              <w:snapToGrid w:val="0"/>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gridSpan w:val="2"/>
            <w:tcBorders>
              <w:top w:val="nil"/>
              <w:left w:val="nil"/>
              <w:bottom w:val="single" w:color="auto" w:sz="4" w:space="0"/>
              <w:right w:val="single" w:color="auto" w:sz="4" w:space="0"/>
            </w:tcBorders>
            <w:shd w:val="clear" w:color="auto" w:fill="auto"/>
            <w:noWrap/>
            <w:vAlign w:val="center"/>
          </w:tcPr>
          <w:p>
            <w:pPr>
              <w:widowControl/>
              <w:adjustRightInd w:val="0"/>
              <w:snapToGrid w:val="0"/>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gridSpan w:val="3"/>
            <w:tcBorders>
              <w:top w:val="nil"/>
              <w:left w:val="nil"/>
              <w:bottom w:val="single" w:color="auto" w:sz="4" w:space="0"/>
              <w:right w:val="single" w:color="auto" w:sz="4" w:space="0"/>
            </w:tcBorders>
            <w:shd w:val="clear" w:color="auto" w:fill="auto"/>
            <w:noWrap/>
            <w:vAlign w:val="center"/>
          </w:tcPr>
          <w:p>
            <w:pPr>
              <w:widowControl/>
              <w:adjustRightInd w:val="0"/>
              <w:snapToGrid w:val="0"/>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993" w:type="dxa"/>
            <w:gridSpan w:val="3"/>
            <w:tcBorders>
              <w:top w:val="nil"/>
              <w:left w:val="nil"/>
              <w:bottom w:val="single" w:color="auto" w:sz="4" w:space="0"/>
              <w:right w:val="single" w:color="auto" w:sz="4" w:space="0"/>
            </w:tcBorders>
            <w:shd w:val="clear" w:color="auto" w:fill="auto"/>
            <w:noWrap/>
            <w:vAlign w:val="center"/>
          </w:tcPr>
          <w:p>
            <w:pPr>
              <w:widowControl/>
              <w:adjustRightInd w:val="0"/>
              <w:snapToGrid w:val="0"/>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gridSpan w:val="2"/>
            <w:tcBorders>
              <w:top w:val="nil"/>
              <w:left w:val="nil"/>
              <w:bottom w:val="single" w:color="auto" w:sz="4" w:space="0"/>
              <w:right w:val="single" w:color="auto" w:sz="4" w:space="0"/>
            </w:tcBorders>
            <w:shd w:val="clear" w:color="auto" w:fill="auto"/>
            <w:noWrap/>
            <w:vAlign w:val="center"/>
          </w:tcPr>
          <w:p>
            <w:pPr>
              <w:widowControl/>
              <w:adjustRightInd w:val="0"/>
              <w:snapToGrid w:val="0"/>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gridSpan w:val="3"/>
            <w:tcBorders>
              <w:top w:val="nil"/>
              <w:left w:val="nil"/>
              <w:bottom w:val="single" w:color="auto" w:sz="4" w:space="0"/>
              <w:right w:val="single" w:color="auto" w:sz="4" w:space="0"/>
            </w:tcBorders>
            <w:shd w:val="clear" w:color="auto" w:fill="auto"/>
            <w:noWrap/>
            <w:vAlign w:val="center"/>
          </w:tcPr>
          <w:p>
            <w:pPr>
              <w:widowControl/>
              <w:adjustRightInd w:val="0"/>
              <w:snapToGrid w:val="0"/>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gridSpan w:val="3"/>
            <w:tcBorders>
              <w:top w:val="nil"/>
              <w:left w:val="nil"/>
              <w:bottom w:val="single" w:color="auto" w:sz="4" w:space="0"/>
              <w:right w:val="single" w:color="auto" w:sz="4" w:space="0"/>
            </w:tcBorders>
            <w:shd w:val="clear" w:color="auto" w:fill="auto"/>
            <w:noWrap/>
            <w:vAlign w:val="center"/>
          </w:tcPr>
          <w:p>
            <w:pPr>
              <w:widowControl/>
              <w:adjustRightInd w:val="0"/>
              <w:snapToGrid w:val="0"/>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gridSpan w:val="2"/>
            <w:tcBorders>
              <w:top w:val="nil"/>
              <w:left w:val="nil"/>
              <w:bottom w:val="single" w:color="auto" w:sz="4" w:space="0"/>
              <w:right w:val="single" w:color="auto" w:sz="4" w:space="0"/>
            </w:tcBorders>
            <w:shd w:val="clear" w:color="auto" w:fill="auto"/>
            <w:noWrap/>
            <w:vAlign w:val="center"/>
          </w:tcPr>
          <w:p>
            <w:pPr>
              <w:widowControl/>
              <w:adjustRightInd w:val="0"/>
              <w:snapToGrid w:val="0"/>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95" w:hRule="atLeast"/>
        </w:trPr>
        <w:tc>
          <w:tcPr>
            <w:tcW w:w="15168" w:type="dxa"/>
            <w:gridSpan w:val="30"/>
            <w:tcBorders>
              <w:top w:val="nil"/>
              <w:left w:val="nil"/>
              <w:bottom w:val="nil"/>
              <w:right w:val="nil"/>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说明：1.此表按季度报送，2015年4、7、10月和2016年1月的5日前报送前一季度的统计数据。</w:t>
            </w:r>
          </w:p>
        </w:tc>
      </w:tr>
      <w:tr>
        <w:tblPrEx>
          <w:tblCellMar>
            <w:top w:w="0" w:type="dxa"/>
            <w:left w:w="108" w:type="dxa"/>
            <w:bottom w:w="0" w:type="dxa"/>
            <w:right w:w="108" w:type="dxa"/>
          </w:tblCellMar>
        </w:tblPrEx>
        <w:trPr>
          <w:trHeight w:val="510" w:hRule="atLeast"/>
        </w:trPr>
        <w:tc>
          <w:tcPr>
            <w:tcW w:w="15168" w:type="dxa"/>
            <w:gridSpan w:val="30"/>
            <w:tcBorders>
              <w:top w:val="nil"/>
              <w:left w:val="nil"/>
              <w:bottom w:val="nil"/>
              <w:right w:val="nil"/>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xml:space="preserve">      2.农资打假专项治理行动的整治情况请按照《2015年全国农资打假专项治理行动实施方案》的季报制度要求报送。                                                      </w:t>
            </w:r>
          </w:p>
        </w:tc>
      </w:tr>
    </w:tbl>
    <w:p>
      <w:pPr>
        <w:rPr>
          <w:rFonts w:ascii="仿宋_GB2312"/>
          <w:szCs w:val="32"/>
        </w:rPr>
      </w:pPr>
    </w:p>
    <w:sectPr>
      <w:pgSz w:w="16838" w:h="11906" w:orient="landscape"/>
      <w:pgMar w:top="1418" w:right="1440" w:bottom="1559" w:left="1440" w:header="851" w:footer="992" w:gutter="0"/>
      <w:pgNumType w:fmt="numberInDash"/>
      <w:cols w:space="425" w:num="1"/>
      <w:docGrid w:type="linesAndChar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98835205"/>
      <w:docPartObj>
        <w:docPartGallery w:val="AutoText"/>
      </w:docPartObj>
    </w:sdtPr>
    <w:sdtEndPr>
      <w:rPr>
        <w:rFonts w:hint="eastAsia" w:ascii="仿宋_GB2312"/>
        <w:sz w:val="28"/>
        <w:szCs w:val="28"/>
      </w:rPr>
    </w:sdtEndPr>
    <w:sdtContent>
      <w:p>
        <w:pPr>
          <w:pStyle w:val="3"/>
          <w:jc w:val="right"/>
          <w:rPr>
            <w:rFonts w:ascii="仿宋_GB2312"/>
            <w:sz w:val="28"/>
            <w:szCs w:val="28"/>
          </w:rPr>
        </w:pPr>
        <w:r>
          <w:rPr>
            <w:rFonts w:hint="eastAsia" w:ascii="仿宋_GB2312"/>
            <w:sz w:val="28"/>
            <w:szCs w:val="28"/>
          </w:rPr>
          <w:fldChar w:fldCharType="begin"/>
        </w:r>
        <w:r>
          <w:rPr>
            <w:rFonts w:hint="eastAsia" w:ascii="仿宋_GB2312"/>
            <w:sz w:val="28"/>
            <w:szCs w:val="28"/>
          </w:rPr>
          <w:instrText xml:space="preserve">PAGE   \* MERGEFORMAT</w:instrText>
        </w:r>
        <w:r>
          <w:rPr>
            <w:rFonts w:hint="eastAsia" w:ascii="仿宋_GB2312"/>
            <w:sz w:val="28"/>
            <w:szCs w:val="28"/>
          </w:rPr>
          <w:fldChar w:fldCharType="separate"/>
        </w:r>
        <w:r>
          <w:rPr>
            <w:rFonts w:ascii="仿宋_GB2312"/>
            <w:sz w:val="28"/>
            <w:szCs w:val="28"/>
            <w:lang w:val="zh-CN"/>
          </w:rPr>
          <w:t>-</w:t>
        </w:r>
        <w:r>
          <w:rPr>
            <w:rFonts w:ascii="仿宋_GB2312"/>
            <w:sz w:val="28"/>
            <w:szCs w:val="28"/>
          </w:rPr>
          <w:t xml:space="preserve"> 5 -</w:t>
        </w:r>
        <w:r>
          <w:rPr>
            <w:rFonts w:hint="eastAsia" w:ascii="仿宋_GB2312"/>
            <w:sz w:val="28"/>
            <w:szCs w:val="28"/>
          </w:rPr>
          <w:fldChar w:fldCharType="end"/>
        </w:r>
      </w:p>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22687166"/>
      <w:docPartObj>
        <w:docPartGallery w:val="AutoText"/>
      </w:docPartObj>
    </w:sdtPr>
    <w:sdtEndPr>
      <w:rPr>
        <w:rFonts w:hint="eastAsia" w:ascii="仿宋_GB2312"/>
        <w:sz w:val="28"/>
        <w:szCs w:val="28"/>
      </w:rPr>
    </w:sdtEndPr>
    <w:sdtContent>
      <w:p>
        <w:pPr>
          <w:pStyle w:val="3"/>
          <w:rPr>
            <w:rFonts w:ascii="仿宋_GB2312"/>
            <w:sz w:val="28"/>
            <w:szCs w:val="28"/>
          </w:rPr>
        </w:pPr>
        <w:r>
          <w:rPr>
            <w:rFonts w:hint="eastAsia" w:ascii="仿宋_GB2312"/>
            <w:sz w:val="28"/>
            <w:szCs w:val="28"/>
          </w:rPr>
          <w:fldChar w:fldCharType="begin"/>
        </w:r>
        <w:r>
          <w:rPr>
            <w:rFonts w:hint="eastAsia" w:ascii="仿宋_GB2312"/>
            <w:sz w:val="28"/>
            <w:szCs w:val="28"/>
          </w:rPr>
          <w:instrText xml:space="preserve">PAGE   \* MERGEFORMAT</w:instrText>
        </w:r>
        <w:r>
          <w:rPr>
            <w:rFonts w:hint="eastAsia" w:ascii="仿宋_GB2312"/>
            <w:sz w:val="28"/>
            <w:szCs w:val="28"/>
          </w:rPr>
          <w:fldChar w:fldCharType="separate"/>
        </w:r>
        <w:r>
          <w:rPr>
            <w:rFonts w:ascii="仿宋_GB2312"/>
            <w:sz w:val="28"/>
            <w:szCs w:val="28"/>
            <w:lang w:val="zh-CN"/>
          </w:rPr>
          <w:t>-</w:t>
        </w:r>
        <w:r>
          <w:rPr>
            <w:rFonts w:ascii="仿宋_GB2312"/>
            <w:sz w:val="28"/>
            <w:szCs w:val="28"/>
          </w:rPr>
          <w:t xml:space="preserve"> 6 -</w:t>
        </w:r>
        <w:r>
          <w:rPr>
            <w:rFonts w:hint="eastAsia" w:ascii="仿宋_GB2312"/>
            <w:sz w:val="28"/>
            <w:szCs w:val="28"/>
          </w:rPr>
          <w:fldChar w:fldCharType="end"/>
        </w:r>
      </w:p>
    </w:sdtContent>
  </w:sdt>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34679206"/>
      <w:docPartObj>
        <w:docPartGallery w:val="AutoText"/>
      </w:docPartObj>
    </w:sdtPr>
    <w:sdtContent>
      <w:p>
        <w:pPr>
          <w:pStyle w:val="3"/>
          <w:jc w:val="right"/>
        </w:pPr>
        <w:r>
          <w:fldChar w:fldCharType="begin"/>
        </w:r>
        <w:r>
          <w:instrText xml:space="preserve">PAGE   \* MERGEFORMAT</w:instrText>
        </w:r>
        <w:r>
          <w:fldChar w:fldCharType="separate"/>
        </w:r>
        <w:r>
          <w:rPr>
            <w:lang w:val="zh-CN"/>
          </w:rPr>
          <w:t>-</w:t>
        </w:r>
        <w:r>
          <w:t xml:space="preserve"> 13 -</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evenAndOddHeaders w:val="1"/>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yZGZiYWEzZWQ4NGJhNDg0N2IyMGEzZThiYmI1YzIifQ=="/>
  </w:docVars>
  <w:rsids>
    <w:rsidRoot w:val="004F3540"/>
    <w:rsid w:val="001E0C70"/>
    <w:rsid w:val="002A1D0C"/>
    <w:rsid w:val="00302BE0"/>
    <w:rsid w:val="004F3540"/>
    <w:rsid w:val="00644385"/>
    <w:rsid w:val="006A540B"/>
    <w:rsid w:val="007976BE"/>
    <w:rsid w:val="007B721E"/>
    <w:rsid w:val="008F3218"/>
    <w:rsid w:val="0097003F"/>
    <w:rsid w:val="00A82B1C"/>
    <w:rsid w:val="00A93B50"/>
    <w:rsid w:val="00BF22AF"/>
    <w:rsid w:val="00C801A5"/>
    <w:rsid w:val="00D00BC9"/>
    <w:rsid w:val="00D04E8A"/>
    <w:rsid w:val="00D76755"/>
    <w:rsid w:val="00EB5EFA"/>
    <w:rsid w:val="00ED7665"/>
    <w:rsid w:val="00F83D8C"/>
    <w:rsid w:val="1AFF3D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rFonts w:ascii="Calibri" w:hAnsi="Calibri" w:eastAsia="仿宋_GB2312" w:cs="Times New Roman"/>
      <w:sz w:val="18"/>
      <w:szCs w:val="18"/>
    </w:rPr>
  </w:style>
  <w:style w:type="character" w:customStyle="1" w:styleId="8">
    <w:name w:val="页脚 Char"/>
    <w:basedOn w:val="6"/>
    <w:link w:val="3"/>
    <w:qFormat/>
    <w:uiPriority w:val="99"/>
    <w:rPr>
      <w:rFonts w:ascii="Calibri" w:hAnsi="Calibri" w:eastAsia="仿宋_GB2312" w:cs="Times New Roman"/>
      <w:sz w:val="18"/>
      <w:szCs w:val="18"/>
    </w:rPr>
  </w:style>
  <w:style w:type="character" w:customStyle="1" w:styleId="9">
    <w:name w:val="批注框文本 Char"/>
    <w:basedOn w:val="6"/>
    <w:link w:val="2"/>
    <w:semiHidden/>
    <w:qFormat/>
    <w:uiPriority w:val="99"/>
    <w:rPr>
      <w:rFonts w:ascii="Calibri" w:hAnsi="Calibri" w:eastAsia="仿宋_GB2312"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6702</Words>
  <Characters>6870</Characters>
  <Lines>54</Lines>
  <Paragraphs>15</Paragraphs>
  <TotalTime>275</TotalTime>
  <ScaleCrop>false</ScaleCrop>
  <LinksUpToDate>false</LinksUpToDate>
  <CharactersWithSpaces>7361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2015-03-26T01:43:00Z</dcterms:created>
  <dc:creator>nwzjc</dc:creator>
  <cp:lastModifiedBy>jiangyongmeimei</cp:lastModifiedBy>
  <cp:lastPrinted>2015-03-27T01:13:00Z</cp:lastPrinted>
  <dcterms:modified xsi:type="dcterms:W3CDTF">2023-04-17T06:04:23Z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253B13F1B6E54F88A7AF9DDF8ECCEE56_12</vt:lpwstr>
  </property>
</Properties>
</file>