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9429B">
      <w:pPr>
        <w:rPr>
          <w:rStyle w:val="5"/>
          <w:rFonts w:ascii="黑体" w:hAnsi="黑体" w:eastAsia="黑体" w:cs="黑体"/>
          <w:kern w:val="0"/>
          <w:sz w:val="32"/>
          <w:szCs w:val="32"/>
        </w:rPr>
      </w:pPr>
      <w:r>
        <w:rPr>
          <w:rStyle w:val="5"/>
          <w:rFonts w:hint="eastAsia" w:ascii="黑体" w:hAnsi="黑体" w:eastAsia="黑体" w:cs="黑体"/>
          <w:kern w:val="0"/>
          <w:sz w:val="32"/>
          <w:szCs w:val="32"/>
        </w:rPr>
        <w:t>附件</w:t>
      </w:r>
    </w:p>
    <w:p w14:paraId="19B37F16">
      <w:pPr>
        <w:spacing w:after="156" w:afterLines="50"/>
        <w:jc w:val="center"/>
        <w:rPr>
          <w:rStyle w:val="5"/>
          <w:rFonts w:ascii="Times New Roman" w:hAnsi="Times New Roman" w:eastAsia="方正小标宋简体" w:cs="Times New Roman"/>
          <w:kern w:val="0"/>
          <w:sz w:val="44"/>
          <w:szCs w:val="44"/>
        </w:rPr>
      </w:pPr>
      <w:r>
        <w:rPr>
          <w:rStyle w:val="5"/>
          <w:rFonts w:ascii="Times New Roman" w:hAnsi="Times New Roman" w:eastAsia="方正小标宋简体" w:cs="Times New Roman"/>
          <w:kern w:val="0"/>
          <w:sz w:val="44"/>
          <w:szCs w:val="44"/>
        </w:rPr>
        <w:t>天津市</w:t>
      </w:r>
      <w:r>
        <w:rPr>
          <w:rStyle w:val="5"/>
          <w:rFonts w:hint="eastAsia" w:ascii="Times New Roman" w:hAnsi="Times New Roman" w:eastAsia="方正小标宋简体" w:cs="Times New Roman"/>
          <w:kern w:val="0"/>
          <w:sz w:val="44"/>
          <w:szCs w:val="44"/>
        </w:rPr>
        <w:t>第七批</w:t>
      </w:r>
      <w:r>
        <w:rPr>
          <w:rStyle w:val="5"/>
          <w:rFonts w:ascii="Times New Roman" w:hAnsi="Times New Roman" w:eastAsia="方正小标宋简体" w:cs="Times New Roman"/>
          <w:kern w:val="0"/>
          <w:sz w:val="44"/>
          <w:szCs w:val="44"/>
        </w:rPr>
        <w:t>省级动物疫病净化场名单</w:t>
      </w:r>
    </w:p>
    <w:tbl>
      <w:tblPr>
        <w:tblStyle w:val="3"/>
        <w:tblpPr w:leftFromText="180" w:rightFromText="180" w:vertAnchor="text" w:horzAnchor="margin" w:tblpXSpec="center" w:tblpY="72"/>
        <w:tblOverlap w:val="never"/>
        <w:tblW w:w="5000" w:type="pct"/>
        <w:tblInd w:w="0" w:type="dxa"/>
        <w:tblLayout w:type="fixed"/>
        <w:tblCellMar>
          <w:top w:w="0" w:type="dxa"/>
          <w:left w:w="108" w:type="dxa"/>
          <w:bottom w:w="0" w:type="dxa"/>
          <w:right w:w="108" w:type="dxa"/>
        </w:tblCellMar>
      </w:tblPr>
      <w:tblGrid>
        <w:gridCol w:w="858"/>
        <w:gridCol w:w="4319"/>
        <w:gridCol w:w="2448"/>
        <w:gridCol w:w="2585"/>
        <w:gridCol w:w="2027"/>
        <w:gridCol w:w="1936"/>
      </w:tblGrid>
      <w:tr w14:paraId="13D334D2">
        <w:tblPrEx>
          <w:tblCellMar>
            <w:top w:w="0" w:type="dxa"/>
            <w:left w:w="108" w:type="dxa"/>
            <w:bottom w:w="0" w:type="dxa"/>
            <w:right w:w="108" w:type="dxa"/>
          </w:tblCellMar>
        </w:tblPrEx>
        <w:trPr>
          <w:trHeight w:val="699"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8082">
            <w:pPr>
              <w:widowControl/>
              <w:spacing w:line="400" w:lineRule="exact"/>
              <w:jc w:val="center"/>
              <w:textAlignment w:val="center"/>
              <w:rPr>
                <w:rFonts w:ascii="Times New Roman" w:hAnsi="Times New Roman" w:eastAsia="黑体" w:cs="Times New Roman"/>
                <w:bCs/>
                <w:color w:val="000000"/>
                <w:sz w:val="26"/>
                <w:szCs w:val="26"/>
              </w:rPr>
            </w:pPr>
            <w:r>
              <w:rPr>
                <w:rFonts w:ascii="Times New Roman" w:hAnsi="Times New Roman" w:eastAsia="黑体" w:cs="Times New Roman"/>
                <w:bCs/>
                <w:color w:val="000000"/>
                <w:kern w:val="0"/>
                <w:sz w:val="26"/>
                <w:szCs w:val="26"/>
                <w:lang w:bidi="ar"/>
              </w:rPr>
              <w:t>序号</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01ED">
            <w:pPr>
              <w:widowControl/>
              <w:spacing w:line="400" w:lineRule="exact"/>
              <w:jc w:val="center"/>
              <w:textAlignment w:val="center"/>
              <w:rPr>
                <w:rFonts w:ascii="Times New Roman" w:hAnsi="Times New Roman" w:eastAsia="黑体" w:cs="Times New Roman"/>
                <w:bCs/>
                <w:color w:val="000000"/>
                <w:sz w:val="26"/>
                <w:szCs w:val="26"/>
              </w:rPr>
            </w:pPr>
            <w:r>
              <w:rPr>
                <w:rFonts w:ascii="Times New Roman" w:hAnsi="Times New Roman" w:eastAsia="黑体" w:cs="Times New Roman"/>
                <w:bCs/>
                <w:color w:val="000000"/>
                <w:kern w:val="0"/>
                <w:sz w:val="26"/>
                <w:szCs w:val="26"/>
                <w:lang w:bidi="ar"/>
              </w:rPr>
              <w:t>省级净化场名称</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C436">
            <w:pPr>
              <w:widowControl/>
              <w:spacing w:line="400" w:lineRule="exact"/>
              <w:jc w:val="center"/>
              <w:textAlignment w:val="center"/>
              <w:rPr>
                <w:rFonts w:ascii="Times New Roman" w:hAnsi="Times New Roman" w:eastAsia="黑体" w:cs="Times New Roman"/>
                <w:bCs/>
                <w:color w:val="000000"/>
                <w:sz w:val="26"/>
                <w:szCs w:val="26"/>
              </w:rPr>
            </w:pPr>
            <w:r>
              <w:rPr>
                <w:rFonts w:ascii="Times New Roman" w:hAnsi="Times New Roman" w:eastAsia="黑体" w:cs="Times New Roman"/>
                <w:bCs/>
                <w:color w:val="000000"/>
                <w:kern w:val="0"/>
                <w:sz w:val="26"/>
                <w:szCs w:val="26"/>
                <w:lang w:bidi="ar"/>
              </w:rPr>
              <w:t>养殖</w:t>
            </w:r>
            <w:r>
              <w:rPr>
                <w:rFonts w:hint="eastAsia" w:ascii="Times New Roman" w:hAnsi="Times New Roman" w:eastAsia="黑体" w:cs="Times New Roman"/>
                <w:bCs/>
                <w:color w:val="000000"/>
                <w:kern w:val="0"/>
                <w:sz w:val="26"/>
                <w:szCs w:val="26"/>
                <w:lang w:bidi="ar"/>
              </w:rPr>
              <w:t>企业</w:t>
            </w:r>
            <w:r>
              <w:rPr>
                <w:rFonts w:ascii="Times New Roman" w:hAnsi="Times New Roman" w:eastAsia="黑体" w:cs="Times New Roman"/>
                <w:bCs/>
                <w:color w:val="000000"/>
                <w:kern w:val="0"/>
                <w:sz w:val="26"/>
                <w:szCs w:val="26"/>
                <w:lang w:bidi="ar"/>
              </w:rPr>
              <w:t>名称</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728F">
            <w:pPr>
              <w:widowControl/>
              <w:spacing w:line="400" w:lineRule="exact"/>
              <w:jc w:val="center"/>
              <w:textAlignment w:val="center"/>
              <w:rPr>
                <w:rFonts w:ascii="Times New Roman" w:hAnsi="Times New Roman" w:eastAsia="黑体" w:cs="Times New Roman"/>
                <w:bCs/>
                <w:color w:val="000000"/>
                <w:kern w:val="0"/>
                <w:sz w:val="26"/>
                <w:szCs w:val="26"/>
                <w:lang w:bidi="ar"/>
              </w:rPr>
            </w:pPr>
            <w:r>
              <w:rPr>
                <w:rFonts w:ascii="Times New Roman" w:hAnsi="Times New Roman" w:eastAsia="黑体" w:cs="Times New Roman"/>
                <w:bCs/>
                <w:color w:val="000000"/>
                <w:kern w:val="0"/>
                <w:sz w:val="26"/>
                <w:szCs w:val="26"/>
                <w:lang w:bidi="ar"/>
              </w:rPr>
              <w:t>地址</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4159">
            <w:pPr>
              <w:widowControl/>
              <w:spacing w:line="400" w:lineRule="exact"/>
              <w:jc w:val="center"/>
              <w:textAlignment w:val="center"/>
              <w:rPr>
                <w:rFonts w:ascii="Times New Roman" w:hAnsi="Times New Roman" w:eastAsia="黑体" w:cs="Times New Roman"/>
                <w:bCs/>
                <w:color w:val="000000"/>
                <w:kern w:val="0"/>
                <w:sz w:val="26"/>
                <w:szCs w:val="26"/>
                <w:lang w:bidi="ar"/>
              </w:rPr>
            </w:pPr>
            <w:r>
              <w:rPr>
                <w:rFonts w:ascii="Times New Roman" w:hAnsi="Times New Roman" w:eastAsia="黑体" w:cs="Times New Roman"/>
                <w:bCs/>
                <w:color w:val="000000"/>
                <w:kern w:val="0"/>
                <w:sz w:val="26"/>
                <w:szCs w:val="26"/>
                <w:lang w:bidi="ar"/>
              </w:rPr>
              <w:t>坐标</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735A">
            <w:pPr>
              <w:widowControl/>
              <w:spacing w:line="400" w:lineRule="exact"/>
              <w:jc w:val="center"/>
              <w:textAlignment w:val="center"/>
              <w:rPr>
                <w:rFonts w:ascii="Times New Roman" w:hAnsi="Times New Roman" w:eastAsia="黑体" w:cs="Times New Roman"/>
                <w:bCs/>
                <w:color w:val="000000"/>
                <w:sz w:val="26"/>
                <w:szCs w:val="26"/>
              </w:rPr>
            </w:pPr>
            <w:r>
              <w:rPr>
                <w:rFonts w:ascii="Times New Roman" w:hAnsi="Times New Roman" w:eastAsia="黑体" w:cs="Times New Roman"/>
                <w:bCs/>
                <w:color w:val="000000"/>
                <w:kern w:val="0"/>
                <w:sz w:val="26"/>
                <w:szCs w:val="26"/>
                <w:lang w:bidi="ar"/>
              </w:rPr>
              <w:t>牌匾编号</w:t>
            </w:r>
          </w:p>
        </w:tc>
      </w:tr>
      <w:tr w14:paraId="72096018">
        <w:tblPrEx>
          <w:tblCellMar>
            <w:top w:w="0" w:type="dxa"/>
            <w:left w:w="108" w:type="dxa"/>
            <w:bottom w:w="0" w:type="dxa"/>
            <w:right w:w="108" w:type="dxa"/>
          </w:tblCellMar>
        </w:tblPrEx>
        <w:trPr>
          <w:trHeight w:val="345"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3687">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1</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0271">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省级猪繁殖与呼吸综合征（非免疫）净化场</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8B52">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天津市宁河原种猪场有限责任公司</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EA0C">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天津市宁河区板</w:t>
            </w:r>
            <w:bookmarkStart w:id="0" w:name="_GoBack"/>
            <w:bookmarkEnd w:id="0"/>
            <w:r>
              <w:rPr>
                <w:rFonts w:hint="eastAsia" w:ascii="Times New Roman" w:hAnsi="Times New Roman" w:eastAsia="仿宋_GB2312" w:cs="Times New Roman"/>
                <w:bCs/>
                <w:color w:val="000000"/>
                <w:kern w:val="0"/>
                <w:sz w:val="26"/>
                <w:szCs w:val="26"/>
                <w:lang w:bidi="ar"/>
              </w:rPr>
              <w:t>桥镇学郝铺村西</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8FF">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39°30′16″</w:t>
            </w:r>
          </w:p>
          <w:p w14:paraId="3A16CE13">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117°50′53″</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568A">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SJ20250005-3</w:t>
            </w:r>
          </w:p>
        </w:tc>
      </w:tr>
      <w:tr w14:paraId="7B828591">
        <w:tblPrEx>
          <w:tblCellMar>
            <w:top w:w="0" w:type="dxa"/>
            <w:left w:w="108" w:type="dxa"/>
            <w:bottom w:w="0" w:type="dxa"/>
            <w:right w:w="108" w:type="dxa"/>
          </w:tblCellMar>
        </w:tblPrEx>
        <w:trPr>
          <w:trHeight w:val="345"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9C34">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2</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16FE">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省级牛布鲁氏菌病（免疫）净化场</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241A">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天津天食智慧牧业有限公司</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7EDB">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天津市宝坻区大钟农场场部南</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7223">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39°42′28″</w:t>
            </w:r>
          </w:p>
          <w:p w14:paraId="5E04E1CF">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117°32′49″</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5FC9">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SJ20250006-5</w:t>
            </w:r>
          </w:p>
        </w:tc>
      </w:tr>
      <w:tr w14:paraId="43BD37BA">
        <w:tblPrEx>
          <w:tblCellMar>
            <w:top w:w="0" w:type="dxa"/>
            <w:left w:w="108" w:type="dxa"/>
            <w:bottom w:w="0" w:type="dxa"/>
            <w:right w:w="108" w:type="dxa"/>
          </w:tblCellMar>
        </w:tblPrEx>
        <w:trPr>
          <w:trHeight w:val="345"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F0ED">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3</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18AB">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省级牛布鲁氏菌病（免疫）净化场</w:t>
            </w:r>
          </w:p>
          <w:p w14:paraId="3BADA87A">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省级牛结核病净化场</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927F">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4"/>
                <w:szCs w:val="24"/>
                <w:lang w:bidi="ar"/>
              </w:rPr>
              <w:t>北京首农畜牧发展有限公司宝坻分公司</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C809">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天津市宝坻区牛道口镇北</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E8CC">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39°49′31″</w:t>
            </w:r>
          </w:p>
          <w:p w14:paraId="6FEE2CE6">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117°14′18″</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180E">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SJ20250007-5</w:t>
            </w:r>
          </w:p>
          <w:p w14:paraId="0ED91ED1">
            <w:pPr>
              <w:widowControl/>
              <w:spacing w:line="400" w:lineRule="exact"/>
              <w:jc w:val="center"/>
              <w:textAlignment w:val="center"/>
              <w:rPr>
                <w:rFonts w:ascii="Times New Roman" w:hAnsi="Times New Roman" w:eastAsia="仿宋_GB2312" w:cs="Times New Roman"/>
                <w:bCs/>
                <w:color w:val="000000"/>
                <w:kern w:val="0"/>
                <w:sz w:val="26"/>
                <w:szCs w:val="26"/>
                <w:lang w:bidi="ar"/>
              </w:rPr>
            </w:pPr>
            <w:r>
              <w:rPr>
                <w:rFonts w:hint="eastAsia" w:ascii="Times New Roman" w:hAnsi="Times New Roman" w:eastAsia="仿宋_GB2312" w:cs="Times New Roman"/>
                <w:bCs/>
                <w:color w:val="000000"/>
                <w:kern w:val="0"/>
                <w:sz w:val="26"/>
                <w:szCs w:val="26"/>
                <w:lang w:bidi="ar"/>
              </w:rPr>
              <w:t>SJ20250008-6</w:t>
            </w:r>
          </w:p>
        </w:tc>
      </w:tr>
    </w:tbl>
    <w:p w14:paraId="4E7B35A6">
      <w:pPr>
        <w:spacing w:line="400" w:lineRule="exact"/>
        <w:rPr>
          <w:rFonts w:ascii="Times New Roman" w:hAnsi="Times New Roman" w:cs="Times New Roman"/>
        </w:rPr>
      </w:pPr>
      <w:r>
        <w:rPr>
          <w:rFonts w:hint="eastAsia" w:ascii="Times New Roman" w:hAnsi="Times New Roman" w:cs="Times New Roman"/>
        </w:rPr>
        <w:t>备注：因第三批省级净化场名单中北京绿荷牛业有限责任公司宝坻分部名称变更为北京首农畜牧发展有限公司宝坻分公司，且该公司管理人员也有变动，本次评估对其牛结核病净化工作进行了重新评估，原牌匾编号SJ20230003-6作废，调整为SJ20250008-6。</w:t>
      </w:r>
    </w:p>
    <w:p w14:paraId="174DE5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754B8"/>
    <w:rsid w:val="1637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2025-12-08T02:53:00Z</dcterms:created>
  <dc:creator>jiangyongmeimei</dc:creator>
  <cp:lastModifiedBy>jiangyongmeimei</cp:lastModifiedBy>
  <dcterms:modified xsi:type="dcterms:W3CDTF">2025-12-08T02:54:00Z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D6EFAE70A6674E06A1DB9FB5286E8EF6_11</vt:lpwstr>
  </property>
  <property fmtid="{D5CDD505-2E9C-101B-9397-08002B2CF9AE}" pid="4" name="KSOTemplateDocerSaveRecord">
    <vt:lpwstr>eyJoZGlkIjoiNGYyZGZiYWEzZWQ4NGJhNDg0N2IyMGEzZThiYmI1YzIiLCJ1c2VySWQiOiIxMjI2NDE2MDkwIn0=</vt:lpwstr>
  </property>
</Properties>
</file>