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CA26F">
      <w:pPr>
        <w:spacing w:line="540" w:lineRule="exact"/>
        <w:rPr>
          <w:rFonts w:hint="eastAsia" w:eastAsia="黑体"/>
        </w:rPr>
      </w:pPr>
      <w:r>
        <w:rPr>
          <w:rFonts w:eastAsia="黑体"/>
        </w:rPr>
        <w:t>附件1</w:t>
      </w:r>
    </w:p>
    <w:p w14:paraId="2DA07581">
      <w:pPr>
        <w:spacing w:line="540" w:lineRule="exact"/>
        <w:jc w:val="center"/>
        <w:rPr>
          <w:rFonts w:ascii="方正小标宋简体" w:hAnsi="方正小标宋简体" w:eastAsia="方正小标宋简体" w:cs="方正小标宋简体"/>
          <w:sz w:val="44"/>
          <w:szCs w:val="44"/>
        </w:rPr>
      </w:pPr>
    </w:p>
    <w:p w14:paraId="6D5D8605">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粮油生产保障资金项目实施方案</w:t>
      </w:r>
    </w:p>
    <w:p w14:paraId="2D7854DB">
      <w:pPr>
        <w:spacing w:line="540" w:lineRule="exact"/>
        <w:ind w:firstLine="646"/>
      </w:pPr>
    </w:p>
    <w:p w14:paraId="6A411762">
      <w:pPr>
        <w:spacing w:line="560" w:lineRule="exact"/>
        <w:ind w:firstLine="646"/>
        <w:rPr>
          <w:color w:val="auto"/>
        </w:rPr>
      </w:pPr>
      <w:r>
        <w:rPr>
          <w:rFonts w:hint="eastAsia"/>
          <w:color w:val="auto"/>
        </w:rPr>
        <w:t>粮油生产保障资金主要用于支持小麦“一喷三防”、粮油等重点作物绿色高产高效行动等方面工作，</w:t>
      </w:r>
      <w:r>
        <w:rPr>
          <w:color w:val="auto"/>
        </w:rPr>
        <w:t>具体实施方案如下。</w:t>
      </w:r>
    </w:p>
    <w:p w14:paraId="7BAE5BC1">
      <w:pPr>
        <w:numPr>
          <w:ilvl w:val="0"/>
          <w:numId w:val="1"/>
        </w:numPr>
        <w:spacing w:line="560" w:lineRule="exact"/>
        <w:ind w:firstLine="646"/>
        <w:rPr>
          <w:rFonts w:eastAsia="黑体"/>
          <w:color w:val="auto"/>
        </w:rPr>
      </w:pPr>
      <w:r>
        <w:rPr>
          <w:rFonts w:hint="eastAsia" w:eastAsia="黑体"/>
          <w:color w:val="auto"/>
        </w:rPr>
        <w:t>实施小麦“一喷三防”补助</w:t>
      </w:r>
    </w:p>
    <w:p w14:paraId="631CAA94">
      <w:pPr>
        <w:spacing w:line="560" w:lineRule="exact"/>
        <w:ind w:firstLine="640" w:firstLineChars="200"/>
        <w:rPr>
          <w:rFonts w:eastAsia="黑体"/>
          <w:color w:val="auto"/>
        </w:rPr>
      </w:pPr>
      <w:r>
        <w:rPr>
          <w:rFonts w:hint="eastAsia"/>
          <w:color w:val="auto"/>
        </w:rPr>
        <w:t>按照</w:t>
      </w:r>
      <w:r>
        <w:rPr>
          <w:bCs/>
          <w:color w:val="auto"/>
        </w:rPr>
        <w:t>《天津市2023年小麦“一喷三防”实施方案》</w:t>
      </w:r>
      <w:r>
        <w:rPr>
          <w:rFonts w:hint="eastAsia"/>
          <w:bCs/>
          <w:color w:val="auto"/>
        </w:rPr>
        <w:t>，</w:t>
      </w:r>
      <w:r>
        <w:rPr>
          <w:color w:val="auto"/>
        </w:rPr>
        <w:t>以小麦主产区为重点，实施“一喷三防”作业面积165.5万亩。通过实施小麦“一喷三防”，有效延长灌浆期，遏制病虫暴发流行，增加粒重，实现减量增效，力争将</w:t>
      </w:r>
      <w:bookmarkStart w:id="0" w:name="PageNo4"/>
      <w:r>
        <w:rPr>
          <w:color w:val="auto"/>
        </w:rPr>
        <w:t>重</w:t>
      </w:r>
      <w:bookmarkEnd w:id="0"/>
      <w:r>
        <w:rPr>
          <w:color w:val="auto"/>
        </w:rPr>
        <w:t>大病虫害总体危害损失率控制在5%以内，产生的农药包装废弃物回收率达到80%以上。区农业农村部门按照“公平、公正、公开”的原则，有序组织生产经营主体与合作社、种植大户或专业化统防统治组织对接并签订服务协议，适时开展作业。各区农业（农业农村）中心植保部门在做好科学监测的同时，适时深入田间地头，开展小麦“一喷三防”全程技术指导服务。承担小麦“一喷三防”的合作社、种植大户或专业化统防统治组织</w:t>
      </w:r>
      <w:r>
        <w:rPr>
          <w:rFonts w:hint="eastAsia"/>
          <w:bCs/>
          <w:color w:val="auto"/>
        </w:rPr>
        <w:t>，</w:t>
      </w:r>
      <w:r>
        <w:rPr>
          <w:bCs/>
          <w:color w:val="auto"/>
        </w:rPr>
        <w:t>享受农业社会化服务政策支持的，不得重复</w:t>
      </w:r>
      <w:r>
        <w:rPr>
          <w:rFonts w:hint="eastAsia"/>
          <w:bCs/>
          <w:color w:val="auto"/>
        </w:rPr>
        <w:t>享受</w:t>
      </w:r>
      <w:r>
        <w:rPr>
          <w:bCs/>
          <w:color w:val="auto"/>
        </w:rPr>
        <w:t>补贴。</w:t>
      </w:r>
    </w:p>
    <w:p w14:paraId="1EA63237">
      <w:pPr>
        <w:numPr>
          <w:ilvl w:val="0"/>
          <w:numId w:val="1"/>
        </w:numPr>
        <w:spacing w:line="560" w:lineRule="exact"/>
        <w:ind w:firstLine="646"/>
        <w:rPr>
          <w:rFonts w:eastAsia="黑体"/>
        </w:rPr>
      </w:pPr>
      <w:r>
        <w:rPr>
          <w:rFonts w:hint="eastAsia" w:eastAsia="黑体"/>
        </w:rPr>
        <w:t>实施粮油等重点作物绿色高产高效行动</w:t>
      </w:r>
    </w:p>
    <w:p w14:paraId="14D1C3A6">
      <w:pPr>
        <w:spacing w:line="560" w:lineRule="exact"/>
        <w:ind w:firstLine="640" w:firstLineChars="200"/>
        <w:sectPr>
          <w:footerReference r:id="rId3" w:type="default"/>
          <w:pgSz w:w="11906" w:h="16838"/>
          <w:pgMar w:top="1361" w:right="1588" w:bottom="1361" w:left="1588" w:header="851" w:footer="851" w:gutter="0"/>
          <w:pgNumType w:fmt="decimal" w:start="6"/>
          <w:cols w:space="720" w:num="1"/>
          <w:docGrid w:linePitch="612" w:charSpace="-4740"/>
        </w:sectPr>
      </w:pPr>
      <w:r>
        <w:rPr>
          <w:rFonts w:hint="eastAsia"/>
        </w:rPr>
        <w:t>按照</w:t>
      </w:r>
      <w:r>
        <w:t>《天津市2023年绿色高产高效行动暨玉米单产整建制推进区行动方案》（津农委计财〔2023〕22号）</w:t>
      </w:r>
      <w:r>
        <w:rPr>
          <w:rFonts w:hint="eastAsia"/>
        </w:rPr>
        <w:t>，建设2个玉米单产提升整建制推进区，建设一批“超吨粮田”优势示范区、建设一批节水增粮推进示范区、建设一批化肥减量增效“三新”示范区。</w:t>
      </w:r>
    </w:p>
    <w:p w14:paraId="04FA36A8">
      <w:pPr>
        <w:keepNext w:val="0"/>
        <w:keepLines w:val="0"/>
        <w:pageBreakBefore w:val="0"/>
        <w:widowControl w:val="0"/>
        <w:kinsoku/>
        <w:wordWrap/>
        <w:overflowPunct/>
        <w:topLinePunct w:val="0"/>
        <w:autoSpaceDE/>
        <w:autoSpaceDN/>
        <w:bidi w:val="0"/>
        <w:adjustRightInd/>
        <w:spacing w:line="560" w:lineRule="exact"/>
        <w:jc w:val="left"/>
        <w:textAlignment w:val="auto"/>
        <w:rPr>
          <w:rFonts w:ascii="黑体" w:hAnsi="黑体" w:eastAsia="黑体"/>
          <w:color w:val="auto"/>
        </w:rPr>
      </w:pPr>
      <w:r>
        <w:rPr>
          <w:rFonts w:ascii="黑体" w:hAnsi="黑体" w:eastAsia="黑体"/>
          <w:color w:val="auto"/>
        </w:rPr>
        <w:t>附件2</w:t>
      </w:r>
    </w:p>
    <w:p w14:paraId="35999601">
      <w:pPr>
        <w:pStyle w:val="2"/>
        <w:keepNext w:val="0"/>
        <w:keepLines w:val="0"/>
        <w:pageBreakBefore w:val="0"/>
        <w:widowControl w:val="0"/>
        <w:kinsoku/>
        <w:wordWrap/>
        <w:overflowPunct/>
        <w:topLinePunct w:val="0"/>
        <w:autoSpaceDE/>
        <w:autoSpaceDN/>
        <w:bidi w:val="0"/>
        <w:adjustRightInd/>
        <w:spacing w:line="560" w:lineRule="exact"/>
        <w:textAlignment w:val="auto"/>
        <w:rPr>
          <w:color w:val="auto"/>
        </w:rPr>
      </w:pPr>
    </w:p>
    <w:p w14:paraId="1CAE121C">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耕地建设与利用资金项目实施方案</w:t>
      </w:r>
    </w:p>
    <w:p w14:paraId="42AE55B5">
      <w:pPr>
        <w:keepNext w:val="0"/>
        <w:keepLines w:val="0"/>
        <w:pageBreakBefore w:val="0"/>
        <w:widowControl w:val="0"/>
        <w:kinsoku/>
        <w:wordWrap/>
        <w:overflowPunct/>
        <w:topLinePunct w:val="0"/>
        <w:autoSpaceDE/>
        <w:autoSpaceDN/>
        <w:bidi w:val="0"/>
        <w:adjustRightInd/>
        <w:spacing w:line="560" w:lineRule="exact"/>
        <w:ind w:firstLine="646"/>
        <w:textAlignment w:val="auto"/>
        <w:rPr>
          <w:rFonts w:hint="eastAsia"/>
          <w:color w:val="auto"/>
        </w:rPr>
      </w:pPr>
    </w:p>
    <w:p w14:paraId="565EC334">
      <w:pPr>
        <w:keepNext w:val="0"/>
        <w:keepLines w:val="0"/>
        <w:pageBreakBefore w:val="0"/>
        <w:widowControl w:val="0"/>
        <w:kinsoku/>
        <w:wordWrap/>
        <w:overflowPunct/>
        <w:topLinePunct w:val="0"/>
        <w:autoSpaceDE/>
        <w:autoSpaceDN/>
        <w:bidi w:val="0"/>
        <w:adjustRightInd/>
        <w:spacing w:line="560" w:lineRule="exact"/>
        <w:ind w:firstLine="646"/>
        <w:textAlignment w:val="auto"/>
        <w:rPr>
          <w:color w:val="auto"/>
        </w:rPr>
      </w:pPr>
      <w:r>
        <w:rPr>
          <w:rFonts w:hint="eastAsia"/>
          <w:color w:val="auto"/>
        </w:rPr>
        <w:t>耕地建设与利用资金主要用于实施耕地地力保护补贴、高标准农田建设、耕地质量提升</w:t>
      </w:r>
      <w:r>
        <w:rPr>
          <w:color w:val="auto"/>
        </w:rPr>
        <w:t>等方面</w:t>
      </w:r>
      <w:r>
        <w:rPr>
          <w:rFonts w:hint="eastAsia"/>
          <w:color w:val="auto"/>
        </w:rPr>
        <w:t>工作</w:t>
      </w:r>
      <w:r>
        <w:rPr>
          <w:color w:val="auto"/>
        </w:rPr>
        <w:t>，具体实施方案如下。</w:t>
      </w:r>
    </w:p>
    <w:p w14:paraId="0F956BA2">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auto"/>
        </w:rPr>
      </w:pPr>
      <w:r>
        <w:rPr>
          <w:rFonts w:hint="eastAsia" w:ascii="黑体" w:hAnsi="黑体" w:eastAsia="黑体" w:cs="黑体"/>
          <w:color w:val="auto"/>
        </w:rPr>
        <w:t xml:space="preserve">    一、稳定实施耕地地力保护补贴</w:t>
      </w:r>
    </w:p>
    <w:p w14:paraId="5B68626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黑体"/>
          <w:color w:val="auto"/>
        </w:rPr>
      </w:pPr>
      <w:r>
        <w:rPr>
          <w:rFonts w:hint="eastAsia"/>
          <w:color w:val="auto"/>
        </w:rPr>
        <w:t>耕地地力保护补贴（含实际种粮农民一次性补贴）</w:t>
      </w:r>
      <w:r>
        <w:rPr>
          <w:rFonts w:hint="eastAsia"/>
          <w:color w:val="auto"/>
          <w:lang w:eastAsia="zh-CN"/>
        </w:rPr>
        <w:t>，</w:t>
      </w:r>
      <w:r>
        <w:rPr>
          <w:rFonts w:hint="eastAsia"/>
          <w:color w:val="auto"/>
        </w:rPr>
        <w:t>按照《天津市耕地地力保护补贴实施方案》（津农委计财〔2021〕31号）、《天津市落实2023年实际种粮农民一次性补贴政策实施方案》（津财农〔2023〕21号）要求</w:t>
      </w:r>
      <w:r>
        <w:rPr>
          <w:color w:val="auto"/>
        </w:rPr>
        <w:t>，兑付</w:t>
      </w:r>
      <w:r>
        <w:rPr>
          <w:rFonts w:hint="eastAsia"/>
          <w:color w:val="auto"/>
        </w:rPr>
        <w:t>耕地地力保护和实际种粮农民一次性</w:t>
      </w:r>
      <w:r>
        <w:rPr>
          <w:color w:val="auto"/>
        </w:rPr>
        <w:t>补贴资金，</w:t>
      </w:r>
      <w:r>
        <w:rPr>
          <w:rFonts w:hint="eastAsia"/>
          <w:color w:val="auto"/>
        </w:rPr>
        <w:t>支持我市粮食生产发展，充分调动广大农民群众保护耕地、提升地力的积极性和主动性，调动农民种粮积极性，</w:t>
      </w:r>
      <w:r>
        <w:rPr>
          <w:color w:val="auto"/>
        </w:rPr>
        <w:t>保障</w:t>
      </w:r>
      <w:r>
        <w:rPr>
          <w:rFonts w:hint="eastAsia"/>
          <w:color w:val="auto"/>
        </w:rPr>
        <w:t>种粮农民合理收益。</w:t>
      </w:r>
    </w:p>
    <w:p w14:paraId="4E5CFEA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auto"/>
        </w:rPr>
      </w:pPr>
      <w:r>
        <w:rPr>
          <w:rFonts w:hint="eastAsia" w:ascii="黑体" w:hAnsi="黑体" w:eastAsia="黑体" w:cs="黑体"/>
          <w:color w:val="auto"/>
        </w:rPr>
        <w:t xml:space="preserve">    二、加强高标准农田建设</w:t>
      </w:r>
    </w:p>
    <w:p w14:paraId="4F754A8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color w:val="auto"/>
        </w:rPr>
      </w:pPr>
      <w:r>
        <w:rPr>
          <w:rFonts w:hint="eastAsia"/>
          <w:color w:val="auto"/>
        </w:rPr>
        <w:t>为增强农业综合生产能力，支持稳定和优化农田布局，按照《市农业农村委关于下达我市2023年度农田建设任务的通知》（津农委计财〔2023〕15号）和《关于进一步加强我市高标准农田建设项目过程管理工作的通知》有关要求，2023年继续开展高标准农田建设工作，各区应根据项目批复和进展情况，按程序及时兑付中央和市两级财政补助资金，确保高质量完成各项建设任务。此外，为进一步做好我市高标准农田工程管护工作，建立管护制度、落实工程管护资金，按照《农业农村部财政部关于印发</w:t>
      </w:r>
      <w:r>
        <w:rPr>
          <w:rFonts w:hint="eastAsia"/>
          <w:color w:val="auto"/>
          <w:lang w:eastAsia="zh-CN"/>
        </w:rPr>
        <w:t>〈</w:t>
      </w:r>
      <w:r>
        <w:rPr>
          <w:rFonts w:hint="eastAsia"/>
          <w:color w:val="auto"/>
        </w:rPr>
        <w:t>高标准农田建设评价激励实施办法</w:t>
      </w:r>
      <w:r>
        <w:rPr>
          <w:rFonts w:hint="eastAsia"/>
          <w:color w:val="auto"/>
          <w:lang w:eastAsia="zh-CN"/>
        </w:rPr>
        <w:t>〉</w:t>
      </w:r>
      <w:r>
        <w:rPr>
          <w:rFonts w:hint="eastAsia"/>
          <w:color w:val="auto"/>
        </w:rPr>
        <w:t>的通知》（农建发〔2022〕2号）、《天津市高标准农田建设项目建后管护实施细则》要求，各区应在完成当年高标准农田建设各项任务基础上，做好工程设施管护工作。</w:t>
      </w:r>
    </w:p>
    <w:p w14:paraId="52497CC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auto"/>
        </w:rPr>
      </w:pPr>
      <w:r>
        <w:rPr>
          <w:rFonts w:hint="eastAsia" w:ascii="黑体" w:hAnsi="黑体" w:eastAsia="黑体" w:cs="黑体"/>
          <w:color w:val="auto"/>
        </w:rPr>
        <w:t xml:space="preserve">    三、推进耕地质量提升</w:t>
      </w:r>
    </w:p>
    <w:p w14:paraId="02A447B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color w:val="auto"/>
        </w:rPr>
      </w:pPr>
      <w:r>
        <w:rPr>
          <w:rFonts w:hint="eastAsia"/>
          <w:color w:val="auto"/>
        </w:rPr>
        <w:t>（一）开展第三次土壤普查。按照《天津市第三次全国土壤普查工作2023年实施方案》要求，由市级统一组织开展土壤三普工作，在2022年宁河区普查试点基础上，对全市其他9个区全面启动第三次土壤普查，组织完成外业调查采样、样品制备、分析化验、数据审核、成果汇总等任务</w:t>
      </w:r>
      <w:r>
        <w:rPr>
          <w:rFonts w:hint="eastAsia"/>
          <w:color w:val="auto"/>
          <w:lang w:val="en"/>
        </w:rPr>
        <w:t>，</w:t>
      </w:r>
      <w:r>
        <w:rPr>
          <w:rFonts w:hint="eastAsia"/>
          <w:color w:val="auto"/>
        </w:rPr>
        <w:t>形成工作报告</w:t>
      </w:r>
      <w:r>
        <w:rPr>
          <w:rFonts w:hint="eastAsia"/>
          <w:color w:val="auto"/>
          <w:lang w:val="en"/>
        </w:rPr>
        <w:t>，</w:t>
      </w:r>
      <w:r>
        <w:rPr>
          <w:rFonts w:hint="eastAsia"/>
          <w:color w:val="auto"/>
        </w:rPr>
        <w:t>报国务院第三次全国土壤普查领导小组办公室。</w:t>
      </w:r>
    </w:p>
    <w:p w14:paraId="03C533A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color w:val="auto"/>
        </w:rPr>
      </w:pPr>
      <w:r>
        <w:rPr>
          <w:rFonts w:hint="eastAsia"/>
          <w:color w:val="auto"/>
        </w:rPr>
        <w:t>（二）推进化肥减量增效。按照《天津市2023年化肥减量增效项目实施方案》要求，在测土配方施肥基础工作上，推进测土配方施肥向纵深发</w:t>
      </w:r>
      <w:bookmarkStart w:id="1" w:name="PageNo100030002"/>
      <w:r>
        <w:rPr>
          <w:rFonts w:hint="eastAsia"/>
          <w:color w:val="auto"/>
        </w:rPr>
        <w:t>展</w:t>
      </w:r>
      <w:bookmarkEnd w:id="1"/>
      <w:r>
        <w:rPr>
          <w:rFonts w:hint="eastAsia"/>
          <w:color w:val="auto"/>
        </w:rPr>
        <w:t>，全市完成肥料效应、化肥利用率等田间试验35个以上，农户施肥调查1500户，以区为单位向社会公开发布主要农作物施肥配方，测土配方施肥技术推广面积610万亩次以上，技术覆盖率保持在90%以上。以施肥新技术、新产品、新机具“三新”配套技术为突破点，建立1</w:t>
      </w:r>
      <w:r>
        <w:rPr>
          <w:color w:val="auto"/>
        </w:rPr>
        <w:t>5</w:t>
      </w:r>
      <w:r>
        <w:rPr>
          <w:rFonts w:hint="eastAsia"/>
          <w:color w:val="auto"/>
        </w:rPr>
        <w:t>万亩次化肥减量增效升级版示范区，逐步提高我市科学施肥水平，提高肥料利用效率，同时在蔬菜等经济作物上探索化肥减量新技术新模式。</w:t>
      </w:r>
    </w:p>
    <w:p w14:paraId="0AEB7E1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bCs/>
          <w:color w:val="auto"/>
        </w:rPr>
      </w:pPr>
      <w:r>
        <w:rPr>
          <w:rFonts w:hint="eastAsia" w:ascii="Times New Roman" w:hAnsi="Times New Roman" w:cs="Times New Roman"/>
          <w:color w:val="auto"/>
        </w:rPr>
        <w:t>（三）统筹实施耕地深松项目</w:t>
      </w:r>
      <w:r>
        <w:rPr>
          <w:rFonts w:hint="eastAsia" w:ascii="Times New Roman" w:hAnsi="Times New Roman" w:cs="Times New Roman"/>
          <w:color w:val="auto"/>
          <w:lang w:eastAsia="zh-CN"/>
        </w:rPr>
        <w:t>。</w:t>
      </w:r>
      <w:r>
        <w:rPr>
          <w:bCs/>
          <w:color w:val="auto"/>
        </w:rPr>
        <w:t>为进一步提升耕地质量、改善农田生态环境，科学高效推进农机</w:t>
      </w:r>
      <w:r>
        <w:rPr>
          <w:rFonts w:hint="eastAsia"/>
          <w:bCs/>
          <w:color w:val="auto"/>
        </w:rPr>
        <w:t>耕地</w:t>
      </w:r>
      <w:r>
        <w:rPr>
          <w:bCs/>
          <w:color w:val="auto"/>
        </w:rPr>
        <w:t>深松技术推广应用，结合近年全市深松作业实际和各区申报的年度作业需求，项目补助标准按每亩30元给予补助，补助方式按照“先作业、后补助”的方式，验收合格后，兑付给实施作业主体。</w:t>
      </w:r>
    </w:p>
    <w:p w14:paraId="28EBE506">
      <w:pPr>
        <w:pStyle w:val="2"/>
        <w:keepNext w:val="0"/>
        <w:keepLines w:val="0"/>
        <w:pageBreakBefore w:val="0"/>
        <w:widowControl w:val="0"/>
        <w:kinsoku/>
        <w:wordWrap/>
        <w:overflowPunct/>
        <w:topLinePunct w:val="0"/>
        <w:autoSpaceDE/>
        <w:autoSpaceDN/>
        <w:bidi w:val="0"/>
        <w:adjustRightInd/>
        <w:spacing w:line="560" w:lineRule="exact"/>
        <w:textAlignment w:val="auto"/>
        <w:rPr>
          <w:color w:val="auto"/>
        </w:rPr>
        <w:sectPr>
          <w:footerReference r:id="rId4" w:type="default"/>
          <w:pgSz w:w="11906" w:h="16838"/>
          <w:pgMar w:top="1361" w:right="1588" w:bottom="1361" w:left="1588" w:header="851" w:footer="851" w:gutter="0"/>
          <w:pgNumType w:fmt="decimal" w:start="7"/>
          <w:cols w:space="720" w:num="1"/>
          <w:docGrid w:linePitch="612" w:charSpace="-4740"/>
        </w:sectPr>
      </w:pPr>
    </w:p>
    <w:p w14:paraId="4C57015B">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黑体"/>
          <w:color w:val="auto"/>
        </w:rPr>
      </w:pPr>
      <w:r>
        <w:rPr>
          <w:rFonts w:eastAsia="黑体"/>
          <w:color w:val="auto"/>
        </w:rPr>
        <w:t>附件3</w:t>
      </w:r>
    </w:p>
    <w:p w14:paraId="07EAB5C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p w14:paraId="184929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农业产业发展资金项目实施方案</w:t>
      </w:r>
    </w:p>
    <w:p w14:paraId="51A212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color w:val="auto"/>
          <w:sz w:val="44"/>
          <w:szCs w:val="44"/>
        </w:rPr>
      </w:pPr>
    </w:p>
    <w:p w14:paraId="7A51A112">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color w:val="auto"/>
        </w:rPr>
      </w:pPr>
      <w:r>
        <w:rPr>
          <w:color w:val="auto"/>
        </w:rPr>
        <w:t>农业产业发展资金主要</w:t>
      </w:r>
      <w:r>
        <w:rPr>
          <w:rFonts w:hint="eastAsia"/>
          <w:color w:val="auto"/>
        </w:rPr>
        <w:t>用于实施</w:t>
      </w:r>
      <w:r>
        <w:rPr>
          <w:color w:val="auto"/>
          <w:lang w:val="en"/>
        </w:rPr>
        <w:t>农机购置与应用补贴、种畜禽和奶牛生产性能测定、农业产业融合发展、畜牧业发展支出、渔业发展支出</w:t>
      </w:r>
      <w:r>
        <w:rPr>
          <w:color w:val="auto"/>
        </w:rPr>
        <w:t>等方面</w:t>
      </w:r>
      <w:r>
        <w:rPr>
          <w:rFonts w:hint="eastAsia"/>
          <w:color w:val="auto"/>
        </w:rPr>
        <w:t>工作</w:t>
      </w:r>
      <w:r>
        <w:rPr>
          <w:color w:val="auto"/>
        </w:rPr>
        <w:t>，具体实施方案如下。</w:t>
      </w:r>
    </w:p>
    <w:p w14:paraId="35F173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黑体"/>
          <w:color w:val="auto"/>
          <w:lang w:val="en"/>
        </w:rPr>
      </w:pPr>
      <w:r>
        <w:rPr>
          <w:rFonts w:eastAsia="黑体"/>
          <w:color w:val="auto"/>
        </w:rPr>
        <w:t xml:space="preserve">    一、</w:t>
      </w:r>
      <w:r>
        <w:rPr>
          <w:rFonts w:hint="eastAsia" w:eastAsia="黑体"/>
          <w:color w:val="auto"/>
        </w:rPr>
        <w:t>实施</w:t>
      </w:r>
      <w:r>
        <w:rPr>
          <w:rFonts w:eastAsia="黑体"/>
          <w:color w:val="auto"/>
          <w:lang w:val="en"/>
        </w:rPr>
        <w:t>农机购置与应用补贴</w:t>
      </w:r>
      <w:r>
        <w:rPr>
          <w:rFonts w:hint="eastAsia" w:eastAsia="黑体"/>
          <w:color w:val="auto"/>
          <w:lang w:val="en"/>
        </w:rPr>
        <w:t>政策</w:t>
      </w:r>
    </w:p>
    <w:p w14:paraId="11951CEF">
      <w:pPr>
        <w:pStyle w:val="11"/>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rPr>
      </w:pPr>
      <w:r>
        <w:rPr>
          <w:rFonts w:ascii="Times New Roman" w:hAnsi="Times New Roman"/>
          <w:color w:val="auto"/>
        </w:rPr>
        <w:t>按照《天津市2021</w:t>
      </w:r>
      <w:r>
        <w:rPr>
          <w:rFonts w:hint="eastAsia" w:ascii="Times New Roman" w:hAnsi="Times New Roman"/>
          <w:color w:val="auto"/>
        </w:rPr>
        <w:t>—</w:t>
      </w:r>
      <w:r>
        <w:rPr>
          <w:rFonts w:ascii="Times New Roman" w:hAnsi="Times New Roman"/>
          <w:color w:val="auto"/>
        </w:rPr>
        <w:t>2023年农机购置补贴实施方案》（津农委计财〔2021〕64号）要求，继续对全市从事农业生产的个人和农业生产经营组织购买补贴范围内的农机具予以补贴。持续推进补贴机具优机优补、有进有出，重点支持提高粮油作物作业质量的高性能播种机、低损联合收获机等急需急用产品，将大豆收获机、大豆收获专用割台、大豆玉米带状复合种植专用植保机等品目纳入补贴机具种类范围。依法落实支出责任，保障补贴资金需求，并优先用于上年已录入但尚未兑付及当年已购机申请兑付，市级资金投入需通过补贴办理服务系统兑付体现。增加结算批次，确保及时兑付，提高资金使用效益，对挤占挪用中央财政资金的，将按照有关规定予以严肃处理。</w:t>
      </w:r>
    </w:p>
    <w:p w14:paraId="1D6700DD">
      <w:pPr>
        <w:pStyle w:val="11"/>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黑体"/>
          <w:color w:val="auto"/>
          <w:szCs w:val="32"/>
          <w:lang w:val="en"/>
        </w:rPr>
      </w:pPr>
      <w:r>
        <w:rPr>
          <w:rFonts w:ascii="Times New Roman" w:hAnsi="Times New Roman" w:eastAsia="黑体"/>
          <w:color w:val="auto"/>
          <w:szCs w:val="32"/>
        </w:rPr>
        <w:t>二、</w:t>
      </w:r>
      <w:r>
        <w:rPr>
          <w:rFonts w:hint="eastAsia" w:ascii="Times New Roman" w:hAnsi="Times New Roman" w:eastAsia="黑体"/>
          <w:color w:val="auto"/>
          <w:szCs w:val="32"/>
        </w:rPr>
        <w:t>开展</w:t>
      </w:r>
      <w:r>
        <w:rPr>
          <w:rFonts w:ascii="Times New Roman" w:hAnsi="Times New Roman" w:eastAsia="黑体"/>
          <w:color w:val="auto"/>
          <w:szCs w:val="32"/>
          <w:lang w:val="en"/>
        </w:rPr>
        <w:t>种畜禽和奶牛生产性能测定</w:t>
      </w:r>
    </w:p>
    <w:p w14:paraId="47F4B658">
      <w:pPr>
        <w:pStyle w:val="11"/>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color w:val="auto"/>
          <w:szCs w:val="32"/>
        </w:rPr>
      </w:pPr>
      <w:r>
        <w:rPr>
          <w:rFonts w:ascii="Times New Roman" w:hAnsi="Times New Roman"/>
          <w:color w:val="auto"/>
        </w:rPr>
        <w:t>按照农业农村部、财政部相关要求，</w:t>
      </w:r>
      <w:r>
        <w:rPr>
          <w:rFonts w:ascii="Times New Roman" w:hAnsi="Times New Roman"/>
          <w:color w:val="auto"/>
          <w:szCs w:val="32"/>
        </w:rPr>
        <w:t>为做好我市种畜禽和奶牛生产性能测定工作，</w:t>
      </w:r>
      <w:r>
        <w:rPr>
          <w:rFonts w:hint="eastAsia" w:ascii="Times New Roman" w:hAnsi="Times New Roman"/>
          <w:color w:val="auto"/>
          <w:szCs w:val="32"/>
        </w:rPr>
        <w:t>基本</w:t>
      </w:r>
      <w:r>
        <w:rPr>
          <w:rFonts w:ascii="Times New Roman" w:hAnsi="Times New Roman"/>
          <w:color w:val="auto"/>
          <w:szCs w:val="32"/>
        </w:rPr>
        <w:t>实现</w:t>
      </w:r>
      <w:r>
        <w:rPr>
          <w:rFonts w:hint="eastAsia" w:ascii="Times New Roman" w:hAnsi="Times New Roman"/>
          <w:color w:val="auto"/>
          <w:szCs w:val="32"/>
        </w:rPr>
        <w:t>规模化养殖场</w:t>
      </w:r>
      <w:r>
        <w:rPr>
          <w:rFonts w:ascii="Times New Roman" w:hAnsi="Times New Roman"/>
          <w:color w:val="auto"/>
          <w:szCs w:val="32"/>
        </w:rPr>
        <w:t>DHI全覆盖，促进我市种畜禽和奶业发展，保障我市畜禽种源自主可控，按照《天津市2023年种畜禽和奶牛生产性能测定实施方案》</w:t>
      </w:r>
      <w:r>
        <w:rPr>
          <w:rFonts w:ascii="Times New Roman" w:hAnsi="Times New Roman"/>
          <w:color w:val="auto"/>
        </w:rPr>
        <w:t>要求，开展生产性能测定，</w:t>
      </w:r>
      <w:r>
        <w:rPr>
          <w:rFonts w:ascii="Times New Roman" w:hAnsi="Times New Roman"/>
          <w:color w:val="auto"/>
          <w:szCs w:val="32"/>
        </w:rPr>
        <w:t>种猪生产性能测定13500头，种羊生产性能测定2000只，种奶牛生产性能测定1000头，种公牛后裔生产性能测定10头，奶牛生产性能测定43000头。补助标准为：生猪（核心场）生产性能测定200元/头、生猪（核心场）饲料转化率320元/头、肉羊（核心场）生产性能测定400元/只、奶牛（核心场）生产性能测定500元/头、奶牛（种公牛站）生产性能测定1.2万元/头、奶牛（DHI中心）生产性能测定70元/头。各有关单位应先制定工作方案并测定申报、再审核公示、最后兑付补助资金。</w:t>
      </w:r>
    </w:p>
    <w:p w14:paraId="549937D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eastAsia="黑体"/>
          <w:color w:val="auto"/>
        </w:rPr>
      </w:pPr>
      <w:r>
        <w:rPr>
          <w:rFonts w:eastAsia="黑体"/>
          <w:color w:val="auto"/>
        </w:rPr>
        <w:t>三、</w:t>
      </w:r>
      <w:r>
        <w:rPr>
          <w:rFonts w:hint="eastAsia" w:eastAsia="黑体"/>
          <w:color w:val="auto"/>
        </w:rPr>
        <w:t>加快推进</w:t>
      </w:r>
      <w:r>
        <w:rPr>
          <w:rFonts w:eastAsia="黑体"/>
          <w:color w:val="auto"/>
        </w:rPr>
        <w:t>农业产业融合发展</w:t>
      </w:r>
    </w:p>
    <w:p w14:paraId="27F70B2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color w:val="auto"/>
        </w:rPr>
      </w:pPr>
      <w:r>
        <w:rPr>
          <w:color w:val="auto"/>
        </w:rPr>
        <w:t>按照《财政部关于下达2023年农业产业发展资金预算的通知》（农财〔2023〕20号）和《农业农村部办公厅财政部办公厅关于公布2023年农业产业融合发展项目创建名单的通知》（农办计财〔2023〕10号）等有关要求，2023年我市新建、续建农业产业融合项目共7个，其中：新建优势特色产业集群1个（天津市小站稻产业集群）、续建优势特色产业集群1个（天津都市型生猪产业集群）、续建国家现代农业产业园2个（天津市武清区国家现代农业产业园、天津市宝坻区国家现代农业产业园）、新建国家农业产业强镇1个（蓟州区上仓镇农业产业强镇）、续建国家农业产业强镇2个（静海区台头镇农业产业强镇、宁河区岳龙镇农业产业强镇）。</w:t>
      </w:r>
      <w:r>
        <w:rPr>
          <w:rFonts w:hint="eastAsia"/>
          <w:b/>
          <w:color w:val="auto"/>
        </w:rPr>
        <w:t>做强做大重点龙头企业项目-市级政策。</w:t>
      </w:r>
      <w:r>
        <w:rPr>
          <w:rFonts w:hint="eastAsia"/>
          <w:color w:val="auto"/>
        </w:rPr>
        <w:t>根据《天津市做强做大畜牧业</w:t>
      </w:r>
      <w:r>
        <w:rPr>
          <w:color w:val="auto"/>
        </w:rPr>
        <w:t>重点</w:t>
      </w:r>
      <w:r>
        <w:rPr>
          <w:rFonts w:hint="eastAsia"/>
          <w:color w:val="auto"/>
        </w:rPr>
        <w:t>龙头企业试点项目和</w:t>
      </w:r>
      <w:r>
        <w:rPr>
          <w:color w:val="auto"/>
        </w:rPr>
        <w:t>财政</w:t>
      </w:r>
      <w:r>
        <w:rPr>
          <w:rFonts w:hint="eastAsia"/>
          <w:color w:val="auto"/>
        </w:rPr>
        <w:t>补助</w:t>
      </w:r>
      <w:r>
        <w:rPr>
          <w:color w:val="auto"/>
        </w:rPr>
        <w:t>资金管理办法</w:t>
      </w:r>
      <w:r>
        <w:rPr>
          <w:rFonts w:hint="eastAsia"/>
          <w:color w:val="auto"/>
        </w:rPr>
        <w:t>》以及项目</w:t>
      </w:r>
      <w:r>
        <w:rPr>
          <w:color w:val="auto"/>
        </w:rPr>
        <w:t>验收情况，</w:t>
      </w:r>
      <w:r>
        <w:rPr>
          <w:rFonts w:hint="eastAsia"/>
          <w:color w:val="auto"/>
        </w:rPr>
        <w:t>兑付企业</w:t>
      </w:r>
      <w:r>
        <w:rPr>
          <w:color w:val="auto"/>
        </w:rPr>
        <w:t>补助资金。</w:t>
      </w:r>
      <w:r>
        <w:rPr>
          <w:rFonts w:hint="eastAsia"/>
          <w:b/>
          <w:bCs/>
          <w:color w:val="auto"/>
        </w:rPr>
        <w:t>优势</w:t>
      </w:r>
      <w:r>
        <w:rPr>
          <w:b/>
          <w:bCs/>
          <w:color w:val="auto"/>
        </w:rPr>
        <w:t>特色产业发展扶持项目</w:t>
      </w:r>
      <w:r>
        <w:rPr>
          <w:rFonts w:hint="eastAsia"/>
          <w:b/>
          <w:color w:val="auto"/>
        </w:rPr>
        <w:t>-市级政策</w:t>
      </w:r>
      <w:r>
        <w:rPr>
          <w:rFonts w:hint="eastAsia"/>
          <w:b/>
          <w:bCs/>
          <w:color w:val="auto"/>
        </w:rPr>
        <w:t>。</w:t>
      </w:r>
      <w:r>
        <w:rPr>
          <w:rFonts w:hint="eastAsia"/>
          <w:bCs/>
          <w:color w:val="auto"/>
        </w:rPr>
        <w:t>根据各</w:t>
      </w:r>
      <w:r>
        <w:rPr>
          <w:color w:val="auto"/>
        </w:rPr>
        <w:t>项目验收情况，</w:t>
      </w:r>
      <w:r>
        <w:rPr>
          <w:rFonts w:hint="eastAsia"/>
          <w:color w:val="auto"/>
        </w:rPr>
        <w:t>尽快兑付补助资金，共</w:t>
      </w:r>
      <w:r>
        <w:rPr>
          <w:color w:val="auto"/>
        </w:rPr>
        <w:t>包括</w:t>
      </w:r>
      <w:r>
        <w:rPr>
          <w:rFonts w:hint="eastAsia"/>
          <w:color w:val="auto"/>
        </w:rPr>
        <w:t>以下7</w:t>
      </w:r>
      <w:r>
        <w:rPr>
          <w:color w:val="auto"/>
        </w:rPr>
        <w:t>个项目</w:t>
      </w:r>
      <w:r>
        <w:rPr>
          <w:rFonts w:hint="eastAsia"/>
          <w:color w:val="auto"/>
        </w:rPr>
        <w:t>，其中</w:t>
      </w:r>
      <w:r>
        <w:rPr>
          <w:color w:val="auto"/>
        </w:rPr>
        <w:t>宁河区4</w:t>
      </w:r>
      <w:r>
        <w:rPr>
          <w:rFonts w:hint="eastAsia"/>
          <w:color w:val="auto"/>
        </w:rPr>
        <w:t>个、津南区1个</w:t>
      </w:r>
      <w:r>
        <w:rPr>
          <w:color w:val="auto"/>
        </w:rPr>
        <w:t>、滨海新区</w:t>
      </w:r>
      <w:r>
        <w:rPr>
          <w:rFonts w:hint="eastAsia"/>
          <w:color w:val="auto"/>
        </w:rPr>
        <w:t>2个</w:t>
      </w:r>
      <w:r>
        <w:rPr>
          <w:color w:val="auto"/>
        </w:rPr>
        <w:t>，具体</w:t>
      </w:r>
      <w:r>
        <w:rPr>
          <w:rFonts w:hint="eastAsia"/>
          <w:color w:val="auto"/>
        </w:rPr>
        <w:t>如下：宁河区稻谷收储与加工建设、齐心食用菌产业融合发展项目、天津市宁河区天河生猪产加销体系建设项目、天津市宁河区新型都市渔业养殖基地建设项目、津南区小站稻三产融合绿色生态示范项目、天津梦得集团万头牧场粪尿资源化综合利用项目、天津农垦康嘉公司北大港津港天兆猪场二期4400头种猪场项目。</w:t>
      </w:r>
      <w:r>
        <w:rPr>
          <w:rFonts w:hint="eastAsia"/>
          <w:b/>
          <w:bCs/>
          <w:color w:val="auto"/>
        </w:rPr>
        <w:t>农民丰收-市级政策。</w:t>
      </w:r>
      <w:r>
        <w:rPr>
          <w:rFonts w:hint="eastAsia"/>
          <w:color w:val="auto"/>
        </w:rPr>
        <w:t>主要用于对静海区、津南区开展农民丰收节活动进行补助。</w:t>
      </w:r>
    </w:p>
    <w:p w14:paraId="678AEEB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黑体"/>
          <w:color w:val="auto"/>
          <w:lang w:val="en"/>
        </w:rPr>
      </w:pPr>
      <w:r>
        <w:rPr>
          <w:rFonts w:eastAsia="黑体"/>
          <w:color w:val="auto"/>
          <w:lang w:val="en"/>
        </w:rPr>
        <w:t>四、</w:t>
      </w:r>
      <w:r>
        <w:rPr>
          <w:rFonts w:hint="eastAsia" w:eastAsia="黑体"/>
          <w:color w:val="auto"/>
          <w:lang w:val="en"/>
        </w:rPr>
        <w:t>支持</w:t>
      </w:r>
      <w:r>
        <w:rPr>
          <w:rFonts w:eastAsia="黑体"/>
          <w:color w:val="auto"/>
          <w:lang w:val="en"/>
        </w:rPr>
        <w:t>畜牧业发展</w:t>
      </w:r>
    </w:p>
    <w:p w14:paraId="2EA0805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rPr>
      </w:pPr>
      <w:r>
        <w:rPr>
          <w:rFonts w:hint="eastAsia"/>
          <w:color w:val="auto"/>
        </w:rPr>
        <w:t>（一）实施奶业生产能力提升整县推进行动。按照《农业农村部办公厅财政部办公厅关于实施奶业生产能力提升整县推进项目的通知》（农办牧〔2022〕13号）等文件要求，2023年继续开展奶业生产能力提升整县推进项目，重点支持草畜配套、现代智慧牛场建设、奶业产地消费新模式等方向。财政补助资金不高于总投资的50%，补助资金主要以“先建精补”方式拨付，草畜配套每亩补助规模不超过800元</w:t>
      </w:r>
      <w:r>
        <w:rPr>
          <w:rFonts w:hint="eastAsia"/>
          <w:color w:val="auto"/>
          <w:lang w:eastAsia="zh-CN"/>
        </w:rPr>
        <w:t>；</w:t>
      </w:r>
      <w:r>
        <w:rPr>
          <w:rFonts w:hint="eastAsia"/>
          <w:color w:val="auto"/>
        </w:rPr>
        <w:t>单个主体补助规模不超过400万元；现代智慧牛场建设的单个主体补助规模不超过300万元；奶农养加</w:t>
      </w:r>
      <w:r>
        <w:rPr>
          <w:rFonts w:hint="eastAsia"/>
          <w:color w:val="auto"/>
          <w:lang w:val="en"/>
        </w:rPr>
        <w:t>一体化试点的单个主体补助</w:t>
      </w:r>
      <w:r>
        <w:rPr>
          <w:rFonts w:hint="eastAsia"/>
          <w:color w:val="auto"/>
        </w:rPr>
        <w:t>规模不超过400万元。</w:t>
      </w:r>
    </w:p>
    <w:p w14:paraId="2313240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color w:val="auto"/>
          <w:lang w:val="en"/>
        </w:rPr>
      </w:pPr>
      <w:r>
        <w:rPr>
          <w:rFonts w:hint="eastAsia"/>
          <w:color w:val="auto"/>
          <w:lang w:val="en"/>
        </w:rPr>
        <w:t>（二）实施生猪良种补贴。为切实做好生猪生产工作，按照《202</w:t>
      </w:r>
      <w:r>
        <w:rPr>
          <w:rFonts w:hint="eastAsia"/>
          <w:color w:val="auto"/>
        </w:rPr>
        <w:t>3</w:t>
      </w:r>
      <w:r>
        <w:rPr>
          <w:rFonts w:hint="eastAsia"/>
          <w:color w:val="auto"/>
          <w:lang w:val="en"/>
        </w:rPr>
        <w:t>年</w:t>
      </w:r>
      <w:r>
        <w:rPr>
          <w:color w:val="auto"/>
          <w:lang w:val="en"/>
        </w:rPr>
        <w:t>天津市生猪良种补贴工作方案</w:t>
      </w:r>
      <w:r>
        <w:rPr>
          <w:rFonts w:hint="eastAsia"/>
          <w:color w:val="auto"/>
          <w:lang w:val="en"/>
        </w:rPr>
        <w:t>》（津</w:t>
      </w:r>
      <w:r>
        <w:rPr>
          <w:color w:val="auto"/>
          <w:lang w:val="en"/>
        </w:rPr>
        <w:t>农委</w:t>
      </w:r>
      <w:r>
        <w:rPr>
          <w:rFonts w:hint="eastAsia"/>
          <w:color w:val="auto"/>
          <w:lang w:val="en"/>
        </w:rPr>
        <w:t>计财〔202</w:t>
      </w:r>
      <w:r>
        <w:rPr>
          <w:rFonts w:hint="eastAsia"/>
          <w:color w:val="auto"/>
        </w:rPr>
        <w:t>3</w:t>
      </w:r>
      <w:r>
        <w:rPr>
          <w:rFonts w:hint="eastAsia"/>
          <w:color w:val="auto"/>
          <w:lang w:val="en"/>
        </w:rPr>
        <w:t>〕</w:t>
      </w:r>
      <w:r>
        <w:rPr>
          <w:rFonts w:hint="eastAsia"/>
          <w:color w:val="auto"/>
        </w:rPr>
        <w:t>25</w:t>
      </w:r>
      <w:r>
        <w:rPr>
          <w:rFonts w:hint="eastAsia"/>
          <w:color w:val="auto"/>
          <w:lang w:val="en"/>
        </w:rPr>
        <w:t>号）要求，继续实施生猪良种补贴政策，补贴对象为蓟州区、宝坻区、武清区、宁河区、静海区、北辰区、滨海新区</w:t>
      </w:r>
      <w:r>
        <w:rPr>
          <w:rFonts w:hint="eastAsia"/>
          <w:color w:val="auto"/>
        </w:rPr>
        <w:t>7</w:t>
      </w:r>
      <w:r>
        <w:rPr>
          <w:rFonts w:hint="eastAsia"/>
          <w:color w:val="auto"/>
          <w:lang w:val="en"/>
        </w:rPr>
        <w:t>个养猪大区，</w:t>
      </w:r>
      <w:r>
        <w:rPr>
          <w:color w:val="auto"/>
          <w:lang w:val="en"/>
        </w:rPr>
        <w:t>使用良种猪精液</w:t>
      </w:r>
      <w:r>
        <w:rPr>
          <w:rFonts w:hint="eastAsia"/>
          <w:color w:val="auto"/>
          <w:lang w:val="en"/>
        </w:rPr>
        <w:t>开展</w:t>
      </w:r>
      <w:r>
        <w:rPr>
          <w:color w:val="auto"/>
          <w:lang w:val="en"/>
        </w:rPr>
        <w:t>人工授精的</w:t>
      </w:r>
      <w:r>
        <w:rPr>
          <w:rFonts w:hint="eastAsia"/>
          <w:color w:val="auto"/>
          <w:lang w:val="en"/>
        </w:rPr>
        <w:t>生</w:t>
      </w:r>
      <w:r>
        <w:rPr>
          <w:color w:val="auto"/>
          <w:lang w:val="en"/>
        </w:rPr>
        <w:t>猪养殖场（户）</w:t>
      </w:r>
      <w:r>
        <w:rPr>
          <w:rFonts w:hint="eastAsia"/>
          <w:color w:val="auto"/>
          <w:lang w:val="en"/>
        </w:rPr>
        <w:t>，</w:t>
      </w:r>
      <w:r>
        <w:rPr>
          <w:color w:val="auto"/>
          <w:lang w:val="en"/>
        </w:rPr>
        <w:t>按照每头能繁母猪年繁殖2胎，每胎配种使用2份精液，每份精液补贴20元测算，每头能繁母猪补贴80元。各区可根据工作实际自行调整补贴标准，但每头不超过80元</w:t>
      </w:r>
      <w:r>
        <w:rPr>
          <w:rFonts w:hint="eastAsia"/>
          <w:color w:val="auto"/>
          <w:lang w:val="en"/>
        </w:rPr>
        <w:t>。各区应按照</w:t>
      </w:r>
      <w:r>
        <w:rPr>
          <w:color w:val="auto"/>
          <w:lang w:val="en"/>
        </w:rPr>
        <w:t>先制定工作方案、再申报公示并审核、最后兑付补贴资金的顺序</w:t>
      </w:r>
      <w:r>
        <w:rPr>
          <w:rFonts w:hint="eastAsia"/>
          <w:color w:val="auto"/>
          <w:lang w:val="en"/>
        </w:rPr>
        <w:t>开展</w:t>
      </w:r>
      <w:r>
        <w:rPr>
          <w:color w:val="auto"/>
          <w:lang w:val="en"/>
        </w:rPr>
        <w:t>。</w:t>
      </w:r>
    </w:p>
    <w:p w14:paraId="53AADFD4">
      <w:pPr>
        <w:pStyle w:val="11"/>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黑体"/>
          <w:color w:val="auto"/>
          <w:szCs w:val="32"/>
          <w:lang w:val="en"/>
        </w:rPr>
      </w:pPr>
      <w:r>
        <w:rPr>
          <w:rFonts w:ascii="Times New Roman" w:hAnsi="Times New Roman" w:eastAsia="黑体"/>
          <w:color w:val="auto"/>
          <w:szCs w:val="32"/>
          <w:lang w:val="en"/>
        </w:rPr>
        <w:t>五、</w:t>
      </w:r>
      <w:r>
        <w:rPr>
          <w:rFonts w:hint="eastAsia" w:ascii="Times New Roman" w:hAnsi="Times New Roman" w:eastAsia="黑体"/>
          <w:color w:val="auto"/>
          <w:szCs w:val="32"/>
          <w:lang w:val="en"/>
        </w:rPr>
        <w:t>支持</w:t>
      </w:r>
      <w:r>
        <w:rPr>
          <w:rFonts w:ascii="Times New Roman" w:hAnsi="Times New Roman" w:eastAsia="黑体"/>
          <w:color w:val="auto"/>
          <w:szCs w:val="32"/>
          <w:lang w:val="en"/>
        </w:rPr>
        <w:t>渔业发展补助</w:t>
      </w:r>
    </w:p>
    <w:p w14:paraId="70FD68CB">
      <w:pPr>
        <w:pStyle w:val="11"/>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color w:val="auto"/>
          <w:szCs w:val="32"/>
        </w:rPr>
      </w:pPr>
      <w:r>
        <w:rPr>
          <w:rFonts w:ascii="Times New Roman" w:hAnsi="Times New Roman"/>
          <w:color w:val="auto"/>
        </w:rPr>
        <w:t>按照</w:t>
      </w:r>
      <w:r>
        <w:rPr>
          <w:rFonts w:ascii="Times New Roman" w:hAnsi="Times New Roman"/>
          <w:color w:val="auto"/>
          <w:szCs w:val="32"/>
        </w:rPr>
        <w:t>《天津市2023年渔业发展支持政策实施方案》</w:t>
      </w:r>
      <w:r>
        <w:rPr>
          <w:rFonts w:ascii="Times New Roman" w:hAnsi="Times New Roman"/>
          <w:color w:val="auto"/>
        </w:rPr>
        <w:t>（津农委计财〔2023〕19号）要求，继续在全市实施现代化渔业装备设施建设、渔业基础设施建设、渔业绿色循环发展、水生生物资源养护等方面项目。</w:t>
      </w:r>
      <w:r>
        <w:rPr>
          <w:rFonts w:ascii="Times New Roman" w:hAnsi="Times New Roman"/>
          <w:color w:val="auto"/>
          <w:szCs w:val="32"/>
        </w:rPr>
        <w:t>促进我市渔业产业结构不断优化，渔船信息化能力显著提升，海洋渔业资源和水域生态环境持续改善，渔业现代化水平进一步提高。</w:t>
      </w:r>
    </w:p>
    <w:p w14:paraId="12782D5F">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eastAsia" w:eastAsia="黑体"/>
          <w:color w:val="auto"/>
          <w:lang w:val="en"/>
        </w:rPr>
      </w:pPr>
      <w:r>
        <w:rPr>
          <w:rFonts w:hint="eastAsia" w:eastAsia="黑体"/>
          <w:color w:val="auto"/>
          <w:lang w:val="en"/>
        </w:rPr>
        <w:t>生猪调出大县奖励资金</w:t>
      </w:r>
    </w:p>
    <w:p w14:paraId="200C70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
        </w:rPr>
      </w:pPr>
      <w:r>
        <w:rPr>
          <w:rFonts w:hint="eastAsia"/>
          <w:color w:val="auto"/>
          <w:lang w:val="en"/>
        </w:rPr>
        <w:t>生猪调出大县奖励资金包括县级统筹资金和省级统筹资金两部分。其中县级统筹资金用于支持生猪（牛羊）生产流通和产业发展，范围包括生猪（牛羊）生产环节的圈舍改造、良种引进、粪污处理、防疫、保险、牛羊饲草料基地建设，以及流通加工环节的冷链物流、仓储、加工设施设备等方面的支出。 省级统筹奖励资金用于支持本市范围内的生猪（牛羊）生产流通和产业发展。县级统筹资金应制定使用方案按程序报市级备案。</w:t>
      </w:r>
    </w:p>
    <w:p w14:paraId="4876CFBD">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eastAsia" w:ascii="黑体" w:hAnsi="黑体" w:eastAsia="黑体"/>
          <w:color w:val="auto"/>
        </w:rPr>
      </w:pPr>
      <w:r>
        <w:rPr>
          <w:rFonts w:hint="eastAsia" w:ascii="黑体" w:hAnsi="黑体" w:eastAsia="黑体"/>
          <w:color w:val="auto"/>
        </w:rPr>
        <w:t>七、支持衔接推进乡村振兴（激励资金）项目</w:t>
      </w:r>
    </w:p>
    <w:p w14:paraId="328B30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
        </w:rPr>
      </w:pPr>
      <w:r>
        <w:rPr>
          <w:rFonts w:hint="eastAsia"/>
          <w:color w:val="auto"/>
        </w:rPr>
        <w:t xml:space="preserve">    按照《中</w:t>
      </w:r>
      <w:r>
        <w:rPr>
          <w:rFonts w:hint="eastAsia"/>
          <w:color w:val="auto"/>
          <w:lang w:eastAsia="zh-CN"/>
        </w:rPr>
        <w:t>共</w:t>
      </w:r>
      <w:r>
        <w:rPr>
          <w:rFonts w:hint="eastAsia"/>
          <w:color w:val="auto"/>
        </w:rPr>
        <w:t>中央组织部财政部农业农村部关于坚持和加强农村基层党组织领导扶持壮大村级集体经济的通知》（中组发〔2023〕4号）</w:t>
      </w:r>
      <w:r>
        <w:rPr>
          <w:rFonts w:hint="eastAsia"/>
          <w:color w:val="auto"/>
          <w:lang w:eastAsia="zh-CN"/>
        </w:rPr>
        <w:t>、</w:t>
      </w:r>
      <w:r>
        <w:rPr>
          <w:rFonts w:hint="eastAsia"/>
          <w:color w:val="auto"/>
        </w:rPr>
        <w:t>《市农业农村委市委组织部市财政局关于做好2023年中央财政衔接推进乡村振兴项目和资金管理的通知》（津农委计财〔2023〕30号），2023年中央财政衔接推进乡村振兴补助资金，用于扶持蓟州区、武清区、宁河区83个经济薄弱村产业发展。各区应做好区级实施方案编制工作，严格项目入库和实施管理，强化预算执行。</w:t>
      </w:r>
    </w:p>
    <w:p w14:paraId="208FA7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黑体"/>
          <w:color w:val="auto"/>
          <w:lang w:val="en"/>
        </w:rPr>
      </w:pPr>
      <w:r>
        <w:rPr>
          <w:rFonts w:hint="eastAsia" w:eastAsia="黑体"/>
          <w:color w:val="auto"/>
        </w:rPr>
        <w:t xml:space="preserve">    八、</w:t>
      </w:r>
      <w:r>
        <w:rPr>
          <w:rFonts w:hint="eastAsia" w:eastAsia="黑体"/>
          <w:color w:val="auto"/>
          <w:lang w:val="en"/>
        </w:rPr>
        <w:t>支持棉花种植补贴（市级政策）</w:t>
      </w:r>
    </w:p>
    <w:p w14:paraId="5A58B1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rPr>
      </w:pPr>
      <w:r>
        <w:rPr>
          <w:rFonts w:hint="eastAsia"/>
          <w:color w:val="auto"/>
        </w:rPr>
        <w:t>按照《天津市棉花种植补贴实施方案》</w:t>
      </w:r>
      <w:r>
        <w:rPr>
          <w:rFonts w:hint="eastAsia"/>
          <w:color w:val="auto"/>
          <w:lang w:eastAsia="zh-CN"/>
        </w:rPr>
        <w:t>（</w:t>
      </w:r>
      <w:r>
        <w:rPr>
          <w:rFonts w:hint="eastAsia"/>
          <w:color w:val="auto"/>
        </w:rPr>
        <w:t>津农委计财〔2021〕46号</w:t>
      </w:r>
      <w:r>
        <w:rPr>
          <w:rFonts w:hint="eastAsia"/>
          <w:color w:val="auto"/>
          <w:lang w:eastAsia="zh-CN"/>
        </w:rPr>
        <w:t>）</w:t>
      </w:r>
      <w:r>
        <w:rPr>
          <w:rFonts w:hint="eastAsia"/>
          <w:color w:val="auto"/>
        </w:rPr>
        <w:t>要求，对本市棉花种植者，包含村基本农户、村集体土地承包户、国有农场职工、国有农场土地承包户以及种植大户、家庭农场、农民合作社、农业企业等新型经营主体，按照棉花实际种植面积采取后补贴的方式</w:t>
      </w:r>
      <w:r>
        <w:rPr>
          <w:rFonts w:hint="eastAsia"/>
          <w:color w:val="auto"/>
          <w:lang w:eastAsia="zh-CN"/>
        </w:rPr>
        <w:t>（</w:t>
      </w:r>
      <w:r>
        <w:rPr>
          <w:rFonts w:hint="eastAsia"/>
          <w:color w:val="auto"/>
        </w:rPr>
        <w:t>即本年度核实种植面积，下年度兑现补贴资金</w:t>
      </w:r>
      <w:r>
        <w:rPr>
          <w:rFonts w:hint="eastAsia"/>
          <w:color w:val="auto"/>
          <w:lang w:eastAsia="zh-CN"/>
        </w:rPr>
        <w:t>）</w:t>
      </w:r>
      <w:r>
        <w:rPr>
          <w:rFonts w:hint="eastAsia"/>
          <w:color w:val="auto"/>
        </w:rPr>
        <w:t>，每亩补贴 156 元。棉花种植补贴资金由市和区两级财政共同承担</w:t>
      </w:r>
      <w:r>
        <w:rPr>
          <w:rFonts w:hint="default"/>
          <w:color w:val="auto"/>
          <w:lang w:val="en"/>
        </w:rPr>
        <w:t>，</w:t>
      </w:r>
      <w:r>
        <w:rPr>
          <w:rFonts w:hint="eastAsia"/>
          <w:color w:val="auto"/>
        </w:rPr>
        <w:t>其中</w:t>
      </w:r>
      <w:r>
        <w:rPr>
          <w:rFonts w:hint="default"/>
          <w:color w:val="auto"/>
          <w:lang w:val="en"/>
        </w:rPr>
        <w:t>：</w:t>
      </w:r>
      <w:r>
        <w:rPr>
          <w:rFonts w:hint="eastAsia"/>
          <w:color w:val="auto"/>
        </w:rPr>
        <w:t>市财政每亩承担 60%，区财政每亩承担 40%。各涉农区及时通过“一卡通”</w:t>
      </w:r>
      <w:bookmarkStart w:id="3" w:name="_GoBack"/>
      <w:bookmarkEnd w:id="3"/>
      <w:r>
        <w:rPr>
          <w:rFonts w:hint="eastAsia"/>
          <w:color w:val="auto"/>
        </w:rPr>
        <w:t>方式将补贴资金足额兑付至棉花种植者。</w:t>
      </w:r>
    </w:p>
    <w:p w14:paraId="38539056">
      <w:pPr>
        <w:pStyle w:val="2"/>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eastAsia" w:eastAsia="黑体"/>
          <w:color w:val="auto"/>
          <w:lang w:val="en"/>
        </w:rPr>
      </w:pPr>
      <w:r>
        <w:rPr>
          <w:rFonts w:hint="eastAsia" w:eastAsia="黑体"/>
          <w:color w:val="auto"/>
        </w:rPr>
        <w:t>九、疫情期间抢种速生叶菜补贴</w:t>
      </w:r>
      <w:r>
        <w:rPr>
          <w:rFonts w:hint="eastAsia" w:eastAsia="黑体"/>
          <w:color w:val="auto"/>
          <w:lang w:val="en"/>
        </w:rPr>
        <w:t>（市级政策）</w:t>
      </w:r>
    </w:p>
    <w:p w14:paraId="1485D724">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color w:val="auto"/>
        </w:rPr>
      </w:pPr>
      <w:r>
        <w:rPr>
          <w:rFonts w:hint="eastAsia" w:eastAsia="黑体"/>
          <w:color w:val="auto"/>
        </w:rPr>
        <w:t xml:space="preserve">    </w:t>
      </w:r>
      <w:r>
        <w:rPr>
          <w:rFonts w:hint="eastAsia"/>
          <w:color w:val="auto"/>
        </w:rPr>
        <w:t>按照《天津市新冠肺炎疫情期间抢种速生叶菜实施方案》，结合核查验收情况，做好补贴资金兑付工作。</w:t>
      </w:r>
    </w:p>
    <w:p w14:paraId="67C8EE93">
      <w:pPr>
        <w:pStyle w:val="3"/>
        <w:keepNext w:val="0"/>
        <w:keepLines w:val="0"/>
        <w:pageBreakBefore w:val="0"/>
        <w:widowControl w:val="0"/>
        <w:kinsoku/>
        <w:wordWrap/>
        <w:overflowPunct/>
        <w:topLinePunct w:val="0"/>
        <w:autoSpaceDE/>
        <w:autoSpaceDN/>
        <w:bidi w:val="0"/>
        <w:adjustRightInd/>
        <w:snapToGrid/>
        <w:spacing w:line="560" w:lineRule="exact"/>
        <w:ind w:left="640" w:firstLine="0" w:firstLineChars="0"/>
        <w:textAlignment w:val="auto"/>
        <w:rPr>
          <w:rFonts w:eastAsia="黑体"/>
          <w:color w:val="auto"/>
        </w:rPr>
      </w:pPr>
      <w:r>
        <w:rPr>
          <w:rFonts w:hint="eastAsia" w:eastAsia="黑体"/>
          <w:color w:val="auto"/>
        </w:rPr>
        <w:t>十、“菜篮子”稳产保供</w:t>
      </w:r>
      <w:r>
        <w:rPr>
          <w:rFonts w:hint="eastAsia" w:eastAsia="黑体"/>
          <w:color w:val="auto"/>
          <w:lang w:val="en"/>
        </w:rPr>
        <w:t>（市级政策）</w:t>
      </w:r>
    </w:p>
    <w:p w14:paraId="4E95DFD3">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0"/>
        <w:textAlignment w:val="auto"/>
        <w:rPr>
          <w:rFonts w:hint="eastAsia"/>
          <w:color w:val="auto"/>
          <w:lang w:val="en"/>
        </w:rPr>
      </w:pPr>
      <w:r>
        <w:rPr>
          <w:rFonts w:hint="eastAsia"/>
          <w:color w:val="auto"/>
          <w:lang w:val="en"/>
        </w:rPr>
        <w:t>按照《市农业农村委关于下达</w:t>
      </w:r>
      <w:r>
        <w:rPr>
          <w:rFonts w:hint="eastAsia"/>
          <w:color w:val="auto"/>
        </w:rPr>
        <w:t>2020年规模化规范化设施示范园区建设计划和2019年度规模化规范化（高标准）设施示范园区验收结果的通知</w:t>
      </w:r>
      <w:r>
        <w:rPr>
          <w:rFonts w:hint="eastAsia"/>
          <w:color w:val="auto"/>
          <w:lang w:eastAsia="zh-CN"/>
        </w:rPr>
        <w:t>》《</w:t>
      </w:r>
      <w:r>
        <w:rPr>
          <w:rFonts w:hint="eastAsia"/>
          <w:color w:val="auto"/>
          <w:lang w:val="en"/>
        </w:rPr>
        <w:t>关于下达天津市</w:t>
      </w:r>
      <w:r>
        <w:rPr>
          <w:rFonts w:hint="eastAsia"/>
          <w:color w:val="auto"/>
        </w:rPr>
        <w:t>2020年度种猪场和规模猪场贷款贴息资金计划的通知</w:t>
      </w:r>
      <w:r>
        <w:rPr>
          <w:rFonts w:hint="eastAsia"/>
          <w:color w:val="auto"/>
          <w:lang w:val="en"/>
        </w:rPr>
        <w:t>》（津农委计财</w:t>
      </w:r>
      <w:r>
        <w:rPr>
          <w:color w:val="auto"/>
        </w:rPr>
        <w:t>〔202</w:t>
      </w:r>
      <w:r>
        <w:rPr>
          <w:rFonts w:hint="eastAsia"/>
          <w:color w:val="auto"/>
        </w:rPr>
        <w:t>2</w:t>
      </w:r>
      <w:r>
        <w:rPr>
          <w:color w:val="auto"/>
        </w:rPr>
        <w:t>〕</w:t>
      </w:r>
      <w:r>
        <w:rPr>
          <w:rFonts w:hint="eastAsia"/>
          <w:color w:val="auto"/>
        </w:rPr>
        <w:t>2</w:t>
      </w:r>
      <w:r>
        <w:rPr>
          <w:color w:val="auto"/>
        </w:rPr>
        <w:t>号</w:t>
      </w:r>
      <w:r>
        <w:rPr>
          <w:rFonts w:hint="eastAsia"/>
          <w:color w:val="auto"/>
          <w:lang w:val="en"/>
        </w:rPr>
        <w:t>）、《市农业农村委关于</w:t>
      </w:r>
      <w:r>
        <w:rPr>
          <w:rFonts w:hint="eastAsia"/>
          <w:color w:val="auto"/>
        </w:rPr>
        <w:t>2021年天津市能繁母猪购置补助项目审核结果的通报</w:t>
      </w:r>
      <w:r>
        <w:rPr>
          <w:rFonts w:hint="eastAsia"/>
          <w:color w:val="auto"/>
          <w:lang w:val="en"/>
        </w:rPr>
        <w:t>》（津农委计财</w:t>
      </w:r>
      <w:r>
        <w:rPr>
          <w:color w:val="auto"/>
        </w:rPr>
        <w:t>〔202</w:t>
      </w:r>
      <w:r>
        <w:rPr>
          <w:rFonts w:hint="eastAsia"/>
          <w:color w:val="auto"/>
        </w:rPr>
        <w:t>2</w:t>
      </w:r>
      <w:r>
        <w:rPr>
          <w:color w:val="auto"/>
        </w:rPr>
        <w:t>〕</w:t>
      </w:r>
      <w:r>
        <w:rPr>
          <w:rFonts w:hint="eastAsia"/>
          <w:color w:val="auto"/>
        </w:rPr>
        <w:t>7</w:t>
      </w:r>
      <w:r>
        <w:rPr>
          <w:color w:val="auto"/>
        </w:rPr>
        <w:t>号</w:t>
      </w:r>
      <w:r>
        <w:rPr>
          <w:rFonts w:hint="eastAsia"/>
          <w:color w:val="auto"/>
          <w:lang w:val="en"/>
        </w:rPr>
        <w:t>）、</w:t>
      </w:r>
      <w:r>
        <w:rPr>
          <w:color w:val="auto"/>
        </w:rPr>
        <w:t>《2021年天津市能繁母猪购置补贴项目实施方案》和《2021年重点生猪屠宰企业补助项目实施方案》</w:t>
      </w:r>
      <w:r>
        <w:rPr>
          <w:rFonts w:hint="eastAsia"/>
          <w:color w:val="auto"/>
        </w:rPr>
        <w:t>相关要求</w:t>
      </w:r>
      <w:r>
        <w:rPr>
          <w:rFonts w:hint="eastAsia"/>
          <w:color w:val="auto"/>
          <w:lang w:val="en"/>
        </w:rPr>
        <w:t>，做好2020年种猪场和规模猪场流动资金和建设资金贷款贴息项目、规模化规范化设施农业示范园区建设提升（2020年度）、能繁母猪购置补助（2021年）、重点生猪屠宰企业补助（2021年）补助资金兑付工作。</w:t>
      </w:r>
    </w:p>
    <w:p w14:paraId="5640E5A2">
      <w:pPr>
        <w:pStyle w:val="3"/>
        <w:spacing w:line="560" w:lineRule="exact"/>
        <w:ind w:left="640" w:firstLine="0" w:firstLineChars="0"/>
        <w:rPr>
          <w:rFonts w:eastAsia="黑体"/>
        </w:rPr>
      </w:pPr>
    </w:p>
    <w:p w14:paraId="35B8C714">
      <w:pPr>
        <w:spacing w:line="600" w:lineRule="exact"/>
        <w:ind w:firstLine="640"/>
        <w:rPr>
          <w:kern w:val="0"/>
        </w:rPr>
        <w:sectPr>
          <w:footerReference r:id="rId5" w:type="default"/>
          <w:pgSz w:w="11906" w:h="16838"/>
          <w:pgMar w:top="1361" w:right="1588" w:bottom="1361" w:left="1588" w:header="851" w:footer="851" w:gutter="0"/>
          <w:pgNumType w:fmt="decimal" w:start="9"/>
          <w:cols w:space="720" w:num="1"/>
          <w:docGrid w:linePitch="612" w:charSpace="-4740"/>
        </w:sectPr>
      </w:pPr>
    </w:p>
    <w:p w14:paraId="2ECE4D7A">
      <w:pPr>
        <w:keepNext w:val="0"/>
        <w:keepLines w:val="0"/>
        <w:pageBreakBefore w:val="0"/>
        <w:kinsoku/>
        <w:wordWrap/>
        <w:overflowPunct/>
        <w:topLinePunct w:val="0"/>
        <w:autoSpaceDE/>
        <w:autoSpaceDN/>
        <w:bidi w:val="0"/>
        <w:spacing w:line="560" w:lineRule="exact"/>
        <w:textAlignment w:val="auto"/>
        <w:rPr>
          <w:rFonts w:hint="eastAsia" w:eastAsia="黑体"/>
          <w:color w:val="auto"/>
        </w:rPr>
      </w:pPr>
      <w:r>
        <w:rPr>
          <w:rFonts w:eastAsia="黑体"/>
          <w:color w:val="auto"/>
        </w:rPr>
        <w:t>附件4</w:t>
      </w:r>
    </w:p>
    <w:p w14:paraId="572FC0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36"/>
          <w:szCs w:val="44"/>
        </w:rPr>
      </w:pPr>
    </w:p>
    <w:p w14:paraId="4299B8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农业经营主体能力提升资金项目实施方案</w:t>
      </w:r>
    </w:p>
    <w:p w14:paraId="28931B41">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Times New Roman" w:hAnsi="Times New Roman" w:eastAsia="方正小标宋简体" w:cs="Times New Roman"/>
          <w:color w:val="auto"/>
          <w:sz w:val="44"/>
          <w:szCs w:val="44"/>
        </w:rPr>
      </w:pPr>
    </w:p>
    <w:p w14:paraId="29E76B4B">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Times New Roman" w:hAnsi="Times New Roman" w:cs="Times New Roman"/>
          <w:color w:val="auto"/>
        </w:rPr>
      </w:pPr>
      <w:r>
        <w:rPr>
          <w:rFonts w:hint="default" w:ascii="Times New Roman" w:hAnsi="Times New Roman" w:cs="Times New Roman"/>
          <w:color w:val="auto"/>
        </w:rPr>
        <w:t>农业经营主体能力提升资金主要用于支持加强新型农业经营主体培育、强化高素质农民培育、推广社会化服务、推进基层农技推广体系改革与建设、农业融资担保补奖等方面工作，具体实施方案如下。</w:t>
      </w:r>
    </w:p>
    <w:p w14:paraId="194FCD4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5"/>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加强新型农业经营主体培育</w:t>
      </w:r>
    </w:p>
    <w:p w14:paraId="22E1FD8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一）支持奶牛家庭牧场和奶农合作社培育。按照《天津市2023年奶业新型经营主体培育项目实施方案》（津农委计财〔2023〕27号）要求，2023年我市支持依法备案的奶牛家庭牧场、奶农合作社、奶牛养殖场，优先支持家庭牧场和奶农合作社等经营主体数量为20个，开展升级种植养殖设施装备和应用先进生产技术等建设，蓟州区、静海区、东丽区、西青区各1个；宝坻区4个；宁河区7个；滨海新区5个。按照“先建后补”的方式予以资金支持，每个建设单位财政补助资金不超过50%，平均补助25万元。</w:t>
      </w:r>
    </w:p>
    <w:p w14:paraId="4C51D96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lang w:val="en"/>
        </w:rPr>
      </w:pPr>
      <w:r>
        <w:rPr>
          <w:rFonts w:hint="default" w:ascii="Times New Roman" w:hAnsi="Times New Roman" w:eastAsia="仿宋_GB2312" w:cs="Times New Roman"/>
          <w:color w:val="auto"/>
        </w:rPr>
        <w:t>（二）实施粮油规模种植主体单产提升行动。按照《天津市2023年粮油规模种植主体单产提升行动实施方案》（津农委计财〔2023〕23号）并结合天津市粮油主要作物大面积单产提升行动要求，突出不同地区、不同作物生产特点，2023年在全市范围内扶持13个玉米类规模种植主体、14个水稻类规模种植主体（含1个稻麦轮作）、17个大豆类规模种植主体、2个大豆玉米带状复合种植类规模种植主体提升单产能力，承担任务的规模种植主体粮油生产单产水平高于本区平均水平（国家统计局本区支队数据）10%以上。</w:t>
      </w:r>
    </w:p>
    <w:p w14:paraId="5F02543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
        </w:rPr>
        <w:t>（三）</w:t>
      </w:r>
      <w:r>
        <w:rPr>
          <w:rFonts w:hint="default" w:ascii="Times New Roman" w:hAnsi="Times New Roman" w:eastAsia="仿宋_GB2312" w:cs="Times New Roman"/>
          <w:color w:val="auto"/>
        </w:rPr>
        <w:t>生产设施条件改善。</w:t>
      </w:r>
      <w:r>
        <w:rPr>
          <w:rFonts w:hint="default" w:ascii="Times New Roman" w:hAnsi="Times New Roman" w:eastAsia="仿宋_GB2312" w:cs="Times New Roman"/>
          <w:color w:val="auto"/>
          <w:lang w:val="en"/>
        </w:rPr>
        <w:t>一是</w:t>
      </w:r>
      <w:r>
        <w:rPr>
          <w:rFonts w:hint="default" w:ascii="Times New Roman" w:hAnsi="Times New Roman" w:eastAsia="仿宋_GB2312" w:cs="Times New Roman"/>
          <w:color w:val="auto"/>
        </w:rPr>
        <w:t>生产设施条件改善（服务型）。贯彻落实党的二十大“发展新型农业经营主体和社会化服务，发展农业适度规模经营”精神，采取“以奖代补”方式，重点支持承担2023年农业社会化服务项目的区级及以上农民合作社、示范家庭农场开展生产设施条件改善（服务型）项目建设，促进生产能力、服务能力、加工能力、营销能力等各方面能力提升，进一步提高我市新型农业经营主体发展质量和效益，增强农业社会化服务能力。二是生产设施条件改善（仓储物流）。依托区级及以上示范家庭农场、农民专业合作社示范社（含市级合作社）和已登记的农村集体经济组织实施。实施主体要有合法合规的经营资质、建设需求、所需用地、自筹资金等，并且生产经营情况良好。鼓励开展符合实际的产地冷藏保鲜设施数字化、智能化建设，提升产地仓储物流信息化水平。</w:t>
      </w:r>
    </w:p>
    <w:p w14:paraId="3215E7F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二、强化高素质农民培育</w:t>
      </w:r>
    </w:p>
    <w:p w14:paraId="545DEAA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rPr>
      </w:pPr>
      <w:r>
        <w:rPr>
          <w:rFonts w:hint="default" w:ascii="Times New Roman" w:hAnsi="Times New Roman" w:cs="Times New Roman"/>
          <w:color w:val="auto"/>
        </w:rPr>
        <w:t>（一）高素质农民培育。按照《2023年天津市高素质农民培育工作实施方案》（津农委计财〔202</w:t>
      </w:r>
      <w:r>
        <w:rPr>
          <w:rFonts w:hint="default" w:ascii="Times New Roman" w:hAnsi="Times New Roman" w:cs="Times New Roman"/>
          <w:color w:val="auto"/>
          <w:lang w:val="en"/>
        </w:rPr>
        <w:t>3</w:t>
      </w:r>
      <w:r>
        <w:rPr>
          <w:rFonts w:hint="default" w:ascii="Times New Roman" w:hAnsi="Times New Roman" w:cs="Times New Roman"/>
          <w:color w:val="auto"/>
        </w:rPr>
        <w:t>〕</w:t>
      </w:r>
      <w:r>
        <w:rPr>
          <w:rFonts w:hint="default" w:ascii="Times New Roman" w:hAnsi="Times New Roman" w:cs="Times New Roman"/>
          <w:color w:val="auto"/>
          <w:lang w:val="en"/>
        </w:rPr>
        <w:t>20</w:t>
      </w:r>
      <w:r>
        <w:rPr>
          <w:rFonts w:hint="default" w:ascii="Times New Roman" w:hAnsi="Times New Roman" w:cs="Times New Roman"/>
          <w:color w:val="auto"/>
        </w:rPr>
        <w:t>号）有关要求，紧密围绕稳粮保供，扎实推进乡村发展、乡村建设、乡村治理和农民素质素养提升，重点面向种养大户、家庭农场主、农民合作社带头人、社会化服务专业人员、农业企业负责人、返乡创业创新人员、农村集体经济组织负责人等，大力培育高素质农民队伍。2023年完成高素质农民培育任务2000人以上，此外，聚焦乡村振兴示范村创建、网络科学普及、学历教育提升等重点领域，依托我市农广校体系和涉农院校教育资源，发动现代农业产业技术体系、农技推广体系等科技力量，重点组织开展好乡村振兴示范创建村领军人才培育专项行动、经济薄弱村高素质农民培育专项行动、学历教育提升专项行动、农民素质素养提升培训行动。</w:t>
      </w:r>
    </w:p>
    <w:p w14:paraId="50196EE9">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rPr>
      </w:pPr>
      <w:r>
        <w:rPr>
          <w:rFonts w:hint="default" w:ascii="Times New Roman" w:hAnsi="Times New Roman" w:cs="Times New Roman"/>
          <w:color w:val="auto"/>
        </w:rPr>
        <w:t>（二）农村实用人才带头人培训。按照《2023年天津市农村实用人才带头人和到村任职、按照大学生村官管理的选调生等培训工作实施方案》（津农委计财〔202</w:t>
      </w:r>
      <w:r>
        <w:rPr>
          <w:rFonts w:hint="default" w:ascii="Times New Roman" w:hAnsi="Times New Roman" w:cs="Times New Roman"/>
          <w:color w:val="auto"/>
          <w:lang w:val="en"/>
        </w:rPr>
        <w:t>3</w:t>
      </w:r>
      <w:r>
        <w:rPr>
          <w:rFonts w:hint="default" w:ascii="Times New Roman" w:hAnsi="Times New Roman" w:cs="Times New Roman"/>
          <w:color w:val="auto"/>
        </w:rPr>
        <w:t>〕35号）有关要求，2023年继续在蓟州区毛家峪培训基地组织开展9期农村实用人才带头人和到村任职、按照大学生村官管理的选调生培训工作，重点遴选农村基层组织负责人、到村任职选调生、家庭农场主、农民合作社带头人、农村社会化服务组织带头人、小微农业企业负责人、农村创新创业带头人等作为培训对象，计划年底前培训学员900人。</w:t>
      </w:r>
    </w:p>
    <w:p w14:paraId="2FA16C1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rPr>
      </w:pPr>
      <w:r>
        <w:rPr>
          <w:rFonts w:hint="default" w:ascii="Times New Roman" w:hAnsi="Times New Roman" w:cs="Times New Roman"/>
          <w:color w:val="auto"/>
        </w:rPr>
        <w:t>（三）乡村产业振兴带头人培育“头雁”项目。按照《天津市2023年乡村产业振兴带头人培育“头雁”项目实施方案》（津农委计财〔202</w:t>
      </w:r>
      <w:r>
        <w:rPr>
          <w:rFonts w:hint="default" w:ascii="Times New Roman" w:hAnsi="Times New Roman" w:cs="Times New Roman"/>
          <w:color w:val="auto"/>
          <w:lang w:val="en"/>
        </w:rPr>
        <w:t>3</w:t>
      </w:r>
      <w:r>
        <w:rPr>
          <w:rFonts w:hint="default" w:ascii="Times New Roman" w:hAnsi="Times New Roman" w:cs="Times New Roman"/>
          <w:color w:val="auto"/>
        </w:rPr>
        <w:t>〕36号）要求，从全市10个涉农区择优遴选100名乡村产业振兴带头人参加培育，锚定我市现代农业产业特点，按照带头人从事的产业类型和自身的能力水平，确定需求导向、目标导向和问题导向，聚焦带头人短板弱项，量身定制模块内容和培训方式，创造性的开展培训工作，多措并举培养一批具有现代农业产业发展新理念，掌握团队管理新方法，熟悉农业产业化经营新模式，与乡村产业需求相适应，与乡村建设发展相协调的乡村产业“领头雁”，形成头雁振翅、雁阵齐飞的创业带动示范效应，推动我市乡村创新创业和新业态新产业发展壮大。</w:t>
      </w:r>
    </w:p>
    <w:p w14:paraId="2B4885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三、推广农业社会化服务</w:t>
      </w:r>
    </w:p>
    <w:p w14:paraId="5549AF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按照《天津市2023年农业社会化服务项目实施方案》（津农委计财〔202</w:t>
      </w:r>
      <w:r>
        <w:rPr>
          <w:rFonts w:hint="default" w:ascii="Times New Roman" w:hAnsi="Times New Roman" w:cs="Times New Roman"/>
          <w:color w:val="auto"/>
          <w:lang w:val="en"/>
        </w:rPr>
        <w:t>3</w:t>
      </w:r>
      <w:r>
        <w:rPr>
          <w:rFonts w:hint="default" w:ascii="Times New Roman" w:hAnsi="Times New Roman" w:cs="Times New Roman"/>
          <w:color w:val="auto"/>
        </w:rPr>
        <w:t>〕26号），结合实际，全市农业生产托管服务任务指标60万亩，由滨海新区、北辰区、东丽区</w:t>
      </w:r>
      <w:r>
        <w:rPr>
          <w:rFonts w:hint="eastAsia" w:ascii="Times New Roman" w:hAnsi="Times New Roman" w:cs="Times New Roman"/>
          <w:color w:val="auto"/>
          <w:lang w:eastAsia="zh-CN"/>
        </w:rPr>
        <w:t>、</w:t>
      </w:r>
      <w:r>
        <w:rPr>
          <w:rFonts w:hint="default" w:ascii="Times New Roman" w:hAnsi="Times New Roman" w:cs="Times New Roman"/>
          <w:color w:val="auto"/>
        </w:rPr>
        <w:t>武清区、宝坻区、静海区、宁河区、蓟州区8个涉农区具体实施。支持水稻、小麦、玉米等粮食作物和大豆油料作物的耕、种、防、收全程农业生产托管服务。服务小农户和小规模经营主体的，单季作物每亩补助最高不超过100元且不超过服务总价格的30%；服务适度规模经营主体的，单季作物每亩补助最高不超过90元且不超过服务总价格的30%。本项目支持同一地块最多不超过3年，并逐年降低补助标准，推荐分年度折算系数为1.0、0.9、0.8。各项目区可根据当地耕、种、防、收四个环节的服务价格和有关规定，结合任务面积及资金情况确定具体补助标准。本项目优先支持撂荒地实现复耕复垦。</w:t>
      </w:r>
    </w:p>
    <w:p w14:paraId="7C1A7B05">
      <w:pPr>
        <w:pStyle w:val="5"/>
        <w:keepNext w:val="0"/>
        <w:keepLines w:val="0"/>
        <w:pageBreakBefore w:val="0"/>
        <w:widowControl w:val="0"/>
        <w:kinsoku/>
        <w:wordWrap/>
        <w:overflowPunct/>
        <w:topLinePunct w:val="0"/>
        <w:autoSpaceDE/>
        <w:autoSpaceDN/>
        <w:bidi w:val="0"/>
        <w:adjustRightInd/>
        <w:snapToGrid/>
        <w:spacing w:line="560" w:lineRule="exact"/>
        <w:ind w:left="646" w:firstLine="0" w:firstLineChars="0"/>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四、推广基层农技推广体系改革与建设</w:t>
      </w:r>
    </w:p>
    <w:p w14:paraId="1A2A6783">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default" w:ascii="Times New Roman" w:hAnsi="Times New Roman" w:cs="Times New Roman"/>
          <w:color w:val="auto"/>
        </w:rPr>
      </w:pPr>
      <w:r>
        <w:rPr>
          <w:rFonts w:hint="default" w:ascii="Times New Roman" w:hAnsi="Times New Roman" w:cs="Times New Roman"/>
          <w:color w:val="auto"/>
        </w:rPr>
        <w:t>按照《2023年天津市基层农技推广体系改革与建设任务实施方案》（津农委计财〔2023〕23号），推动各涉农区基层农技推广体系不断健全，服务能力不断提升，强化稳粮保供科技支撑，建设20个农业科技示范展示基地，开展年度主推技术展示示范活动100场（次）以上</w:t>
      </w:r>
      <w:r>
        <w:rPr>
          <w:rFonts w:hint="default" w:ascii="Times New Roman" w:hAnsi="Times New Roman" w:cs="Times New Roman"/>
          <w:color w:val="auto"/>
          <w:lang w:val="en"/>
        </w:rPr>
        <w:t>，</w:t>
      </w:r>
      <w:r>
        <w:rPr>
          <w:rFonts w:hint="default" w:ascii="Times New Roman" w:hAnsi="Times New Roman" w:cs="Times New Roman"/>
          <w:color w:val="auto"/>
        </w:rPr>
        <w:t>培育1000个农业科技示范主体，遴选推广主推技术40项以上，全市农业主推技术到位率超过95%，对全市1000名农技人员进行培训，培训人数达到全市在岗在编基层农技人员的1/3，其中：省级骨干农技人员培训50人、基层农技人员知识更新培训950人，招募粮食生产特聘农技员10名。围绕农业科技现代化先行县共建，创新农业科技县域服务模式，在武清区优化农业科技服务大院功能，完善产研结合推广基地6个，转化推广重大科技成果12项，带动新型生产经营主体70个，解决产业重大问题10个。</w:t>
      </w:r>
    </w:p>
    <w:p w14:paraId="3E2F8654">
      <w:pPr>
        <w:pStyle w:val="5"/>
        <w:keepNext w:val="0"/>
        <w:keepLines w:val="0"/>
        <w:pageBreakBefore w:val="0"/>
        <w:widowControl w:val="0"/>
        <w:kinsoku/>
        <w:wordWrap/>
        <w:overflowPunct/>
        <w:topLinePunct w:val="0"/>
        <w:autoSpaceDE/>
        <w:autoSpaceDN/>
        <w:bidi w:val="0"/>
        <w:adjustRightInd/>
        <w:snapToGrid/>
        <w:spacing w:line="560" w:lineRule="exact"/>
        <w:ind w:left="646" w:firstLine="0" w:firstLineChars="0"/>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五、农业融资担保补奖和贷款贴息</w:t>
      </w:r>
    </w:p>
    <w:p w14:paraId="66663E9A">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color w:val="auto"/>
        </w:rPr>
      </w:pPr>
      <w:r>
        <w:rPr>
          <w:rFonts w:hint="default" w:ascii="Times New Roman" w:hAnsi="Times New Roman" w:cs="Times New Roman"/>
          <w:color w:val="auto"/>
        </w:rPr>
        <w:t xml:space="preserve">    按照《市农业农村委市财政局关于印发天津市农业融资担保补奖资金管理办法的通知》（津农委规〔2020〕6号）要求，补奖资金全部用于鼓励天津农业融资担保有限公司为农业农村贷款提供担保服务，支持现代都市型农业发展，促进我市农业信贷担保业务规模明显增加。根据《市农业农村委关于财政担保支持现代农业发展扶持政策的通知》要求，对符合条件的农业经营主体流动资金担保贷款给予不超过一年的年化2%的贴息扶持，同一经营主体享受贴息不超过1次；对符合条件的农业经营主体固定资产贷款给予不超过3年的年化2%的贴息扶持，贴息不超过1次。</w:t>
      </w:r>
    </w:p>
    <w:p w14:paraId="5F1A893C">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color w:val="auto"/>
        </w:rPr>
        <w:sectPr>
          <w:footerReference r:id="rId6" w:type="default"/>
          <w:pgSz w:w="11906" w:h="16838"/>
          <w:pgMar w:top="1361" w:right="1588" w:bottom="1361" w:left="1588" w:header="851" w:footer="851" w:gutter="0"/>
          <w:pgNumType w:fmt="decimal" w:start="15"/>
          <w:cols w:space="720" w:num="1"/>
          <w:docGrid w:linePitch="612" w:charSpace="-4740"/>
        </w:sectPr>
      </w:pPr>
    </w:p>
    <w:p w14:paraId="48E28912">
      <w:pPr>
        <w:keepNext w:val="0"/>
        <w:keepLines w:val="0"/>
        <w:pageBreakBefore w:val="0"/>
        <w:kinsoku/>
        <w:wordWrap/>
        <w:overflowPunct/>
        <w:topLinePunct w:val="0"/>
        <w:autoSpaceDE/>
        <w:autoSpaceDN/>
        <w:bidi w:val="0"/>
        <w:spacing w:line="560" w:lineRule="exact"/>
        <w:textAlignment w:val="auto"/>
        <w:rPr>
          <w:rFonts w:hint="eastAsia" w:eastAsia="黑体"/>
          <w:color w:val="auto"/>
        </w:rPr>
      </w:pPr>
      <w:r>
        <w:rPr>
          <w:rFonts w:eastAsia="黑体"/>
          <w:color w:val="auto"/>
        </w:rPr>
        <w:t>附件</w:t>
      </w:r>
      <w:r>
        <w:rPr>
          <w:rFonts w:hint="eastAsia" w:eastAsia="黑体"/>
          <w:color w:val="auto"/>
        </w:rPr>
        <w:t>5</w:t>
      </w:r>
    </w:p>
    <w:p w14:paraId="5DB50317">
      <w:pPr>
        <w:pStyle w:val="5"/>
        <w:keepNext w:val="0"/>
        <w:keepLines w:val="0"/>
        <w:pageBreakBefore w:val="0"/>
        <w:kinsoku/>
        <w:wordWrap/>
        <w:overflowPunct/>
        <w:topLinePunct w:val="0"/>
        <w:autoSpaceDE/>
        <w:autoSpaceDN/>
        <w:bidi w:val="0"/>
        <w:spacing w:line="560" w:lineRule="exact"/>
        <w:ind w:firstLine="640"/>
        <w:textAlignment w:val="auto"/>
        <w:rPr>
          <w:rFonts w:hint="eastAsia"/>
          <w:color w:val="auto"/>
        </w:rPr>
      </w:pPr>
    </w:p>
    <w:p w14:paraId="49C0B154">
      <w:pPr>
        <w:pStyle w:val="5"/>
        <w:keepNext w:val="0"/>
        <w:keepLines w:val="0"/>
        <w:pageBreakBefore w:val="0"/>
        <w:kinsoku/>
        <w:wordWrap/>
        <w:overflowPunct/>
        <w:topLinePunct w:val="0"/>
        <w:autoSpaceDE/>
        <w:autoSpaceDN/>
        <w:bidi w:val="0"/>
        <w:spacing w:line="560" w:lineRule="exact"/>
        <w:ind w:firstLine="0" w:firstLineChars="0"/>
        <w:jc w:val="center"/>
        <w:textAlignment w:val="auto"/>
        <w:rPr>
          <w:rFonts w:hint="default" w:ascii="Times New Roman" w:hAnsi="Times New Roman" w:eastAsia="方正小标宋简体" w:cs="Times New Roman"/>
          <w:color w:val="auto"/>
          <w:kern w:val="2"/>
          <w:sz w:val="44"/>
          <w:szCs w:val="44"/>
          <w:lang w:val="en-US" w:eastAsia="zh-CN" w:bidi="ar-SA"/>
        </w:rPr>
      </w:pPr>
      <w:r>
        <w:rPr>
          <w:rFonts w:hint="eastAsia" w:ascii="Times New Roman" w:hAnsi="Times New Roman" w:eastAsia="方正小标宋简体" w:cs="Times New Roman"/>
          <w:color w:val="auto"/>
          <w:kern w:val="2"/>
          <w:sz w:val="44"/>
          <w:szCs w:val="44"/>
          <w:lang w:val="en-US" w:eastAsia="zh-CN" w:bidi="ar-SA"/>
        </w:rPr>
        <w:t>农业生态资源保护资金项目</w:t>
      </w:r>
      <w:r>
        <w:rPr>
          <w:rFonts w:hint="default" w:ascii="Times New Roman" w:hAnsi="Times New Roman" w:eastAsia="方正小标宋简体" w:cs="Times New Roman"/>
          <w:color w:val="auto"/>
          <w:kern w:val="2"/>
          <w:sz w:val="44"/>
          <w:szCs w:val="44"/>
          <w:lang w:val="en-US" w:eastAsia="zh-CN" w:bidi="ar-SA"/>
        </w:rPr>
        <w:t>实施方案</w:t>
      </w:r>
    </w:p>
    <w:p w14:paraId="3FDCAF92">
      <w:pPr>
        <w:keepNext w:val="0"/>
        <w:keepLines w:val="0"/>
        <w:pageBreakBefore w:val="0"/>
        <w:kinsoku/>
        <w:wordWrap/>
        <w:overflowPunct/>
        <w:topLinePunct w:val="0"/>
        <w:autoSpaceDE/>
        <w:autoSpaceDN/>
        <w:bidi w:val="0"/>
        <w:spacing w:line="560" w:lineRule="exact"/>
        <w:ind w:firstLine="646"/>
        <w:textAlignment w:val="auto"/>
        <w:rPr>
          <w:rFonts w:hint="eastAsia"/>
          <w:color w:val="auto"/>
        </w:rPr>
      </w:pPr>
    </w:p>
    <w:p w14:paraId="492440A8">
      <w:pPr>
        <w:keepNext w:val="0"/>
        <w:keepLines w:val="0"/>
        <w:pageBreakBefore w:val="0"/>
        <w:kinsoku/>
        <w:wordWrap/>
        <w:overflowPunct/>
        <w:topLinePunct w:val="0"/>
        <w:autoSpaceDE/>
        <w:autoSpaceDN/>
        <w:bidi w:val="0"/>
        <w:spacing w:line="560" w:lineRule="exact"/>
        <w:ind w:firstLine="646"/>
        <w:textAlignment w:val="auto"/>
        <w:rPr>
          <w:rFonts w:hint="eastAsia"/>
          <w:color w:val="auto"/>
        </w:rPr>
      </w:pPr>
      <w:r>
        <w:rPr>
          <w:rFonts w:hint="eastAsia"/>
          <w:color w:val="auto"/>
        </w:rPr>
        <w:t>农业生态资源保护资金主要用于支持促进农作物秸秆综合利用、开展渔业增殖放流等方面工作，具体实施方案如下。</w:t>
      </w:r>
    </w:p>
    <w:p w14:paraId="69117ABD">
      <w:pPr>
        <w:pStyle w:val="5"/>
        <w:keepNext w:val="0"/>
        <w:keepLines w:val="0"/>
        <w:pageBreakBefore w:val="0"/>
        <w:numPr>
          <w:ilvl w:val="0"/>
          <w:numId w:val="4"/>
        </w:numPr>
        <w:kinsoku/>
        <w:wordWrap/>
        <w:overflowPunct/>
        <w:topLinePunct w:val="0"/>
        <w:autoSpaceDE/>
        <w:autoSpaceDN/>
        <w:bidi w:val="0"/>
        <w:spacing w:line="560" w:lineRule="exact"/>
        <w:ind w:firstLineChars="0"/>
        <w:textAlignment w:val="auto"/>
        <w:rPr>
          <w:rFonts w:hint="eastAsia" w:ascii="黑体" w:hAnsi="黑体" w:eastAsia="黑体" w:cs="黑体"/>
          <w:color w:val="auto"/>
        </w:rPr>
      </w:pPr>
      <w:r>
        <w:rPr>
          <w:rFonts w:hint="eastAsia" w:ascii="黑体" w:hAnsi="黑体" w:eastAsia="黑体" w:cs="黑体"/>
          <w:color w:val="auto"/>
        </w:rPr>
        <w:t>促进农作物秸秆综合利用</w:t>
      </w:r>
    </w:p>
    <w:p w14:paraId="49A3C91D">
      <w:pPr>
        <w:keepNext w:val="0"/>
        <w:keepLines w:val="0"/>
        <w:pageBreakBefore w:val="0"/>
        <w:kinsoku/>
        <w:wordWrap/>
        <w:overflowPunct/>
        <w:topLinePunct w:val="0"/>
        <w:autoSpaceDE/>
        <w:autoSpaceDN/>
        <w:bidi w:val="0"/>
        <w:spacing w:line="560" w:lineRule="exact"/>
        <w:ind w:firstLine="640" w:firstLineChars="200"/>
        <w:textAlignment w:val="auto"/>
        <w:rPr>
          <w:color w:val="auto"/>
        </w:rPr>
      </w:pPr>
      <w:r>
        <w:rPr>
          <w:color w:val="auto"/>
        </w:rPr>
        <w:t>为深入贯彻党中央、国务院关于生态环境保护的决策部署，落实天津市农业污染防治工作有关要求，根据《天津市人民代表大会关于农作物秸秆综合利用和露天禁烧的决定</w:t>
      </w:r>
      <w:r>
        <w:rPr>
          <w:rFonts w:hint="eastAsia"/>
          <w:color w:val="auto"/>
          <w:lang w:eastAsia="zh-CN"/>
        </w:rPr>
        <w:t>》《</w:t>
      </w:r>
      <w:r>
        <w:rPr>
          <w:color w:val="auto"/>
        </w:rPr>
        <w:t>市农业农村委关于印发天津市2023年农作物秸秆综合利用实施方案的通知</w:t>
      </w:r>
      <w:r>
        <w:rPr>
          <w:rFonts w:hint="eastAsia"/>
          <w:color w:val="auto"/>
        </w:rPr>
        <w:t>》（</w:t>
      </w:r>
      <w:r>
        <w:rPr>
          <w:color w:val="auto"/>
          <w:kern w:val="0"/>
        </w:rPr>
        <w:t>津农委计财</w:t>
      </w:r>
      <w:r>
        <w:rPr>
          <w:color w:val="auto"/>
          <w:sz w:val="34"/>
          <w:szCs w:val="34"/>
        </w:rPr>
        <w:t>〔2023〕10号</w:t>
      </w:r>
      <w:r>
        <w:rPr>
          <w:rFonts w:hint="eastAsia"/>
          <w:color w:val="auto"/>
        </w:rPr>
        <w:t>）有关规定，2023年</w:t>
      </w:r>
      <w:r>
        <w:rPr>
          <w:color w:val="auto"/>
        </w:rPr>
        <w:t>全市水稻、小麦、玉米、棉花、高粱、大豆等秸秆综合利用工作</w:t>
      </w:r>
      <w:r>
        <w:rPr>
          <w:rFonts w:hint="eastAsia"/>
          <w:color w:val="auto"/>
        </w:rPr>
        <w:t>，</w:t>
      </w:r>
      <w:r>
        <w:rPr>
          <w:color w:val="auto"/>
        </w:rPr>
        <w:t>应按照农时，分别在3月、6月和12月底前完成。</w:t>
      </w:r>
      <w:r>
        <w:rPr>
          <w:rFonts w:hint="eastAsia"/>
          <w:color w:val="auto"/>
        </w:rPr>
        <w:t>通过开展秸秆综合利用工作，</w:t>
      </w:r>
      <w:r>
        <w:rPr>
          <w:color w:val="auto"/>
        </w:rPr>
        <w:t>各涉农区均达到农业农村部秸秆综合利用重点县标准，</w:t>
      </w:r>
      <w:r>
        <w:rPr>
          <w:rFonts w:hint="eastAsia"/>
          <w:color w:val="auto"/>
        </w:rPr>
        <w:t>完成</w:t>
      </w:r>
      <w:r>
        <w:rPr>
          <w:color w:val="auto"/>
        </w:rPr>
        <w:t>秸秆</w:t>
      </w:r>
      <w:r>
        <w:rPr>
          <w:rFonts w:hint="eastAsia"/>
          <w:color w:val="auto"/>
        </w:rPr>
        <w:t>监测</w:t>
      </w:r>
      <w:r>
        <w:rPr>
          <w:color w:val="auto"/>
        </w:rPr>
        <w:t>评价工作，</w:t>
      </w:r>
      <w:r>
        <w:rPr>
          <w:rFonts w:hint="eastAsia"/>
          <w:color w:val="auto"/>
        </w:rPr>
        <w:t>确保</w:t>
      </w:r>
      <w:r>
        <w:rPr>
          <w:color w:val="auto"/>
        </w:rPr>
        <w:t>全市农作物秸秆综合利用率达98%以上</w:t>
      </w:r>
      <w:r>
        <w:rPr>
          <w:rFonts w:hint="eastAsia"/>
          <w:color w:val="auto"/>
        </w:rPr>
        <w:t>、</w:t>
      </w:r>
      <w:r>
        <w:rPr>
          <w:color w:val="auto"/>
        </w:rPr>
        <w:t>秸秆还田率不低于60%，基本实现全量化综合利用。</w:t>
      </w:r>
    </w:p>
    <w:p w14:paraId="5D4A215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rPr>
      </w:pPr>
      <w:r>
        <w:rPr>
          <w:rFonts w:hint="eastAsia" w:ascii="黑体" w:hAnsi="黑体" w:eastAsia="黑体" w:cs="黑体"/>
          <w:color w:val="auto"/>
        </w:rPr>
        <w:t>二、渔业增殖放流</w:t>
      </w:r>
    </w:p>
    <w:p w14:paraId="147644AF">
      <w:pPr>
        <w:keepNext w:val="0"/>
        <w:keepLines w:val="0"/>
        <w:pageBreakBefore w:val="0"/>
        <w:kinsoku/>
        <w:wordWrap/>
        <w:overflowPunct/>
        <w:topLinePunct w:val="0"/>
        <w:autoSpaceDE/>
        <w:autoSpaceDN/>
        <w:bidi w:val="0"/>
        <w:spacing w:line="560" w:lineRule="exact"/>
        <w:textAlignment w:val="auto"/>
        <w:rPr>
          <w:rFonts w:hint="eastAsia"/>
          <w:color w:val="auto"/>
        </w:rPr>
      </w:pPr>
      <w:r>
        <w:rPr>
          <w:rFonts w:hint="eastAsia"/>
          <w:color w:val="auto"/>
        </w:rPr>
        <w:t xml:space="preserve">    根据《农业农村部关于做好“十四五”水生生物增殖放流工作的指导意见</w:t>
      </w:r>
      <w:r>
        <w:rPr>
          <w:rFonts w:hint="eastAsia"/>
          <w:color w:val="auto"/>
          <w:lang w:eastAsia="zh-CN"/>
        </w:rPr>
        <w:t>》《</w:t>
      </w:r>
      <w:r>
        <w:rPr>
          <w:color w:val="auto"/>
          <w:lang w:val="en"/>
        </w:rPr>
        <w:t>水生生物增殖放流管理规定》，</w:t>
      </w:r>
      <w:r>
        <w:rPr>
          <w:rFonts w:hint="eastAsia"/>
          <w:color w:val="auto"/>
        </w:rPr>
        <w:t>结合天津市水生生物增殖放流现状</w:t>
      </w:r>
      <w:r>
        <w:rPr>
          <w:color w:val="auto"/>
          <w:lang w:val="en"/>
        </w:rPr>
        <w:t>，</w:t>
      </w:r>
      <w:r>
        <w:rPr>
          <w:rFonts w:hint="eastAsia"/>
          <w:color w:val="auto"/>
        </w:rPr>
        <w:t>在确保水域生态安全性前提下</w:t>
      </w:r>
      <w:r>
        <w:rPr>
          <w:color w:val="auto"/>
          <w:lang w:val="en"/>
        </w:rPr>
        <w:t>，</w:t>
      </w:r>
      <w:r>
        <w:rPr>
          <w:rFonts w:hint="eastAsia"/>
          <w:color w:val="auto"/>
        </w:rPr>
        <w:t>优先选择技术成熟、管理规范、影响面大、效果显著的渔业资源增殖品种</w:t>
      </w:r>
      <w:r>
        <w:rPr>
          <w:color w:val="auto"/>
          <w:lang w:val="en"/>
        </w:rPr>
        <w:t>，</w:t>
      </w:r>
      <w:r>
        <w:rPr>
          <w:rFonts w:hint="eastAsia"/>
          <w:color w:val="auto"/>
        </w:rPr>
        <w:t>确保增殖数量的同时</w:t>
      </w:r>
      <w:r>
        <w:rPr>
          <w:color w:val="auto"/>
          <w:lang w:val="en"/>
        </w:rPr>
        <w:t>，</w:t>
      </w:r>
      <w:r>
        <w:rPr>
          <w:rFonts w:hint="eastAsia"/>
          <w:color w:val="auto"/>
        </w:rPr>
        <w:t>注重提高增殖质量和增殖效果。</w:t>
      </w:r>
    </w:p>
    <w:p w14:paraId="02DCCD0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rPr>
      </w:pPr>
      <w:r>
        <w:rPr>
          <w:rFonts w:hint="eastAsia" w:ascii="黑体" w:hAnsi="黑体" w:eastAsia="黑体" w:cs="黑体"/>
          <w:color w:val="auto"/>
        </w:rPr>
        <w:t>三、农田残膜回收利用（市级政策）</w:t>
      </w:r>
    </w:p>
    <w:p w14:paraId="5133B30F">
      <w:pPr>
        <w:keepNext w:val="0"/>
        <w:keepLines w:val="0"/>
        <w:pageBreakBefore w:val="0"/>
        <w:kinsoku/>
        <w:wordWrap/>
        <w:overflowPunct/>
        <w:topLinePunct w:val="0"/>
        <w:autoSpaceDE/>
        <w:autoSpaceDN/>
        <w:bidi w:val="0"/>
        <w:spacing w:line="560" w:lineRule="exact"/>
        <w:textAlignment w:val="auto"/>
        <w:rPr>
          <w:rFonts w:hint="eastAsia"/>
          <w:color w:val="auto"/>
        </w:rPr>
      </w:pPr>
      <w:r>
        <w:rPr>
          <w:rFonts w:hint="eastAsia"/>
          <w:color w:val="auto"/>
        </w:rPr>
        <w:t xml:space="preserve">    加快推进我市农膜回收利用工作，降低农膜残留污染，推动农业绿色发展，按照《天津市2022</w:t>
      </w:r>
      <w:r>
        <w:rPr>
          <w:rFonts w:hint="eastAsia"/>
          <w:color w:val="auto"/>
          <w:lang w:eastAsia="zh-CN"/>
        </w:rPr>
        <w:t>—</w:t>
      </w:r>
      <w:r>
        <w:rPr>
          <w:rFonts w:hint="eastAsia"/>
          <w:color w:val="auto"/>
        </w:rPr>
        <w:t>2023年农膜回收利用实施方案》（</w:t>
      </w:r>
      <w:r>
        <w:rPr>
          <w:color w:val="auto"/>
        </w:rPr>
        <w:t>津农委</w:t>
      </w:r>
      <w:r>
        <w:rPr>
          <w:rFonts w:hint="eastAsia"/>
          <w:color w:val="auto"/>
        </w:rPr>
        <w:t>计财</w:t>
      </w:r>
      <w:r>
        <w:rPr>
          <w:color w:val="auto"/>
        </w:rPr>
        <w:t>〔202</w:t>
      </w:r>
      <w:r>
        <w:rPr>
          <w:color w:val="auto"/>
          <w:lang w:val="en"/>
        </w:rPr>
        <w:t>2</w:t>
      </w:r>
      <w:r>
        <w:rPr>
          <w:color w:val="auto"/>
        </w:rPr>
        <w:t>〕</w:t>
      </w:r>
      <w:r>
        <w:rPr>
          <w:rFonts w:hint="eastAsia"/>
          <w:color w:val="auto"/>
        </w:rPr>
        <w:t>11</w:t>
      </w:r>
      <w:r>
        <w:rPr>
          <w:color w:val="auto"/>
        </w:rPr>
        <w:t>号</w:t>
      </w:r>
      <w:r>
        <w:rPr>
          <w:rFonts w:hint="eastAsia"/>
          <w:color w:val="auto"/>
        </w:rPr>
        <w:t>）要求，</w:t>
      </w:r>
      <w:r>
        <w:rPr>
          <w:color w:val="auto"/>
        </w:rPr>
        <w:t>全面推进</w:t>
      </w:r>
      <w:r>
        <w:rPr>
          <w:rFonts w:hint="eastAsia"/>
          <w:color w:val="auto"/>
        </w:rPr>
        <w:t>农</w:t>
      </w:r>
      <w:r>
        <w:rPr>
          <w:color w:val="auto"/>
        </w:rPr>
        <w:t>膜回收利用工作，强化“谁使用，谁回收”的</w:t>
      </w:r>
      <w:r>
        <w:rPr>
          <w:rFonts w:hint="eastAsia"/>
          <w:color w:val="auto"/>
        </w:rPr>
        <w:t>农</w:t>
      </w:r>
      <w:r>
        <w:rPr>
          <w:color w:val="auto"/>
        </w:rPr>
        <w:t>膜回收主体责任。通过建立“财政扶持、行政推动、农户参与、市场运作”的回收利用体系，促进</w:t>
      </w:r>
      <w:r>
        <w:rPr>
          <w:rFonts w:hint="eastAsia"/>
          <w:color w:val="auto"/>
        </w:rPr>
        <w:t>农</w:t>
      </w:r>
      <w:r>
        <w:rPr>
          <w:color w:val="auto"/>
        </w:rPr>
        <w:t>膜减量与回收，</w:t>
      </w:r>
      <w:r>
        <w:rPr>
          <w:rFonts w:hint="eastAsia"/>
          <w:color w:val="auto"/>
        </w:rPr>
        <w:t>农</w:t>
      </w:r>
      <w:r>
        <w:rPr>
          <w:color w:val="auto"/>
        </w:rPr>
        <w:t>膜回收网络持续健康运行，</w:t>
      </w:r>
      <w:r>
        <w:rPr>
          <w:rFonts w:hint="eastAsia"/>
          <w:color w:val="auto"/>
        </w:rPr>
        <w:t>力争到2023年农</w:t>
      </w:r>
      <w:r>
        <w:rPr>
          <w:color w:val="auto"/>
        </w:rPr>
        <w:t>膜回收率</w:t>
      </w:r>
      <w:r>
        <w:rPr>
          <w:rFonts w:hint="eastAsia"/>
          <w:color w:val="auto"/>
        </w:rPr>
        <w:t>达到</w:t>
      </w:r>
      <w:r>
        <w:rPr>
          <w:color w:val="auto"/>
        </w:rPr>
        <w:t>8</w:t>
      </w:r>
      <w:r>
        <w:rPr>
          <w:rFonts w:hint="eastAsia"/>
          <w:color w:val="auto"/>
        </w:rPr>
        <w:t>3</w:t>
      </w:r>
      <w:r>
        <w:rPr>
          <w:color w:val="auto"/>
        </w:rPr>
        <w:t>%以上。</w:t>
      </w:r>
      <w:r>
        <w:rPr>
          <w:rFonts w:hint="eastAsia"/>
          <w:color w:val="auto"/>
        </w:rPr>
        <w:t xml:space="preserve">请各区按照《天津市农田残膜回收利用试点项目和资金管理办法》有关规定以及农膜回收效果评估结果，尽快兑付作业补贴。  </w:t>
      </w:r>
    </w:p>
    <w:p w14:paraId="45065A3A">
      <w:pPr>
        <w:keepNext w:val="0"/>
        <w:keepLines w:val="0"/>
        <w:pageBreakBefore w:val="0"/>
        <w:kinsoku/>
        <w:wordWrap/>
        <w:overflowPunct/>
        <w:topLinePunct w:val="0"/>
        <w:autoSpaceDE/>
        <w:autoSpaceDN/>
        <w:bidi w:val="0"/>
        <w:spacing w:line="560" w:lineRule="exact"/>
        <w:textAlignment w:val="auto"/>
        <w:rPr>
          <w:rFonts w:hint="eastAsia" w:eastAsia="黑体"/>
          <w:color w:val="auto"/>
        </w:rPr>
      </w:pPr>
      <w:r>
        <w:rPr>
          <w:rFonts w:hint="eastAsia" w:eastAsia="黑体"/>
          <w:color w:val="auto"/>
        </w:rPr>
        <w:t xml:space="preserve">    四、支持大豆油料生产</w:t>
      </w:r>
    </w:p>
    <w:p w14:paraId="12897AD2">
      <w:pPr>
        <w:keepNext w:val="0"/>
        <w:keepLines w:val="0"/>
        <w:pageBreakBefore w:val="0"/>
        <w:kinsoku/>
        <w:wordWrap/>
        <w:overflowPunct/>
        <w:topLinePunct w:val="0"/>
        <w:autoSpaceDE/>
        <w:autoSpaceDN/>
        <w:bidi w:val="0"/>
        <w:spacing w:line="560" w:lineRule="exact"/>
        <w:ind w:firstLine="640" w:firstLineChars="200"/>
        <w:textAlignment w:val="auto"/>
        <w:rPr>
          <w:color w:val="auto"/>
        </w:rPr>
      </w:pPr>
      <w:r>
        <w:rPr>
          <w:rFonts w:hint="eastAsia"/>
          <w:color w:val="auto"/>
        </w:rPr>
        <w:t>按照《市农业农村委关于印发天津市2023年耕地资源保护（大豆油料生产扶持）项目实施方案的通知》（津农委计财〔</w:t>
      </w:r>
      <w:r>
        <w:rPr>
          <w:color w:val="auto"/>
        </w:rPr>
        <w:t>202</w:t>
      </w:r>
      <w:r>
        <w:rPr>
          <w:rFonts w:hint="eastAsia"/>
          <w:color w:val="auto"/>
        </w:rPr>
        <w:t>3〕8号）要求，</w:t>
      </w:r>
      <w:r>
        <w:rPr>
          <w:color w:val="auto"/>
        </w:rPr>
        <w:t>2023年在全市范围内完成大豆种植7.3万亩，油料作物（用于食用的油料作物生产，包括花生、油菜籽、葵花籽、芝麻、胡麻等，不含牡丹、核桃等木本植物）种植1.8万亩，耕地绿肥休耕示范0.8万亩的任务</w:t>
      </w:r>
      <w:r>
        <w:rPr>
          <w:rFonts w:hint="eastAsia"/>
          <w:color w:val="auto"/>
        </w:rPr>
        <w:t>，有效改善项目区的土壤肥力，提高大豆和油料作物保障水平</w:t>
      </w:r>
      <w:r>
        <w:rPr>
          <w:color w:val="auto"/>
        </w:rPr>
        <w:t>。同时鼓励各区自主开展区级示范，争取区级资金，</w:t>
      </w:r>
      <w:r>
        <w:rPr>
          <w:rFonts w:hint="eastAsia"/>
          <w:color w:val="auto"/>
        </w:rPr>
        <w:t>增加</w:t>
      </w:r>
      <w:r>
        <w:rPr>
          <w:color w:val="auto"/>
        </w:rPr>
        <w:t>种植面积，进一步探索扶持大豆油料生产组织方式和政策体系，集成推广种地养地和综合治理相结合的生产技术模式。</w:t>
      </w:r>
    </w:p>
    <w:p w14:paraId="1CC217A4">
      <w:pPr>
        <w:keepNext w:val="0"/>
        <w:keepLines w:val="0"/>
        <w:pageBreakBefore w:val="0"/>
        <w:kinsoku/>
        <w:wordWrap/>
        <w:overflowPunct/>
        <w:topLinePunct w:val="0"/>
        <w:autoSpaceDE/>
        <w:autoSpaceDN/>
        <w:bidi w:val="0"/>
        <w:snapToGrid w:val="0"/>
        <w:spacing w:line="560" w:lineRule="exact"/>
        <w:textAlignment w:val="auto"/>
        <w:rPr>
          <w:color w:val="auto"/>
        </w:rPr>
        <w:sectPr>
          <w:footerReference r:id="rId7" w:type="default"/>
          <w:pgSz w:w="11906" w:h="16838"/>
          <w:pgMar w:top="1361" w:right="1588" w:bottom="1361" w:left="1588" w:header="851" w:footer="851" w:gutter="0"/>
          <w:pgNumType w:fmt="decimal" w:start="20"/>
          <w:cols w:space="720" w:num="1"/>
          <w:docGrid w:linePitch="612" w:charSpace="-4740"/>
        </w:sectPr>
      </w:pPr>
    </w:p>
    <w:p w14:paraId="4A648EF7">
      <w:pPr>
        <w:keepNext w:val="0"/>
        <w:keepLines w:val="0"/>
        <w:pageBreakBefore w:val="0"/>
        <w:kinsoku/>
        <w:wordWrap/>
        <w:overflowPunct/>
        <w:topLinePunct w:val="0"/>
        <w:autoSpaceDE/>
        <w:autoSpaceDN/>
        <w:bidi w:val="0"/>
        <w:spacing w:line="560" w:lineRule="exact"/>
        <w:textAlignment w:val="auto"/>
        <w:rPr>
          <w:rFonts w:hint="eastAsia" w:eastAsia="黑体"/>
          <w:color w:val="auto"/>
        </w:rPr>
      </w:pPr>
      <w:r>
        <w:rPr>
          <w:rFonts w:eastAsia="黑体"/>
          <w:color w:val="auto"/>
        </w:rPr>
        <w:t>附件</w:t>
      </w:r>
      <w:r>
        <w:rPr>
          <w:rFonts w:hint="eastAsia" w:eastAsia="黑体"/>
          <w:color w:val="auto"/>
        </w:rPr>
        <w:t>6</w:t>
      </w:r>
    </w:p>
    <w:p w14:paraId="3BA73090">
      <w:pPr>
        <w:pStyle w:val="5"/>
        <w:keepNext w:val="0"/>
        <w:keepLines w:val="0"/>
        <w:pageBreakBefore w:val="0"/>
        <w:kinsoku/>
        <w:wordWrap/>
        <w:overflowPunct/>
        <w:topLinePunct w:val="0"/>
        <w:autoSpaceDE/>
        <w:autoSpaceDN/>
        <w:bidi w:val="0"/>
        <w:spacing w:line="560" w:lineRule="exact"/>
        <w:ind w:firstLine="640"/>
        <w:textAlignment w:val="auto"/>
        <w:rPr>
          <w:rFonts w:hint="eastAsia"/>
          <w:color w:val="auto"/>
        </w:rPr>
      </w:pPr>
    </w:p>
    <w:p w14:paraId="516B6182">
      <w:pPr>
        <w:pStyle w:val="5"/>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Times New Roman" w:hAnsi="Times New Roman" w:eastAsia="方正小标宋简体" w:cs="Times New Roman"/>
          <w:color w:val="auto"/>
          <w:kern w:val="2"/>
          <w:sz w:val="44"/>
          <w:szCs w:val="44"/>
          <w:lang w:val="en-US" w:eastAsia="zh-CN" w:bidi="ar-SA"/>
        </w:rPr>
      </w:pPr>
      <w:r>
        <w:rPr>
          <w:rFonts w:hint="eastAsia" w:ascii="Times New Roman" w:hAnsi="Times New Roman" w:eastAsia="方正小标宋简体" w:cs="Times New Roman"/>
          <w:color w:val="auto"/>
          <w:kern w:val="2"/>
          <w:sz w:val="44"/>
          <w:szCs w:val="44"/>
          <w:lang w:val="en-US" w:eastAsia="zh-CN" w:bidi="ar-SA"/>
        </w:rPr>
        <w:t>农业防灾减灾和水利救灾资金项目实施方案</w:t>
      </w:r>
    </w:p>
    <w:p w14:paraId="5F10C741">
      <w:pPr>
        <w:pStyle w:val="5"/>
        <w:keepNext w:val="0"/>
        <w:keepLines w:val="0"/>
        <w:pageBreakBefore w:val="0"/>
        <w:kinsoku/>
        <w:wordWrap/>
        <w:overflowPunct/>
        <w:topLinePunct w:val="0"/>
        <w:autoSpaceDE/>
        <w:autoSpaceDN/>
        <w:bidi w:val="0"/>
        <w:spacing w:line="560" w:lineRule="exact"/>
        <w:ind w:firstLine="720"/>
        <w:textAlignment w:val="auto"/>
        <w:rPr>
          <w:rFonts w:hint="eastAsia" w:eastAsia="方正小标宋简体"/>
          <w:color w:val="auto"/>
          <w:sz w:val="36"/>
          <w:szCs w:val="44"/>
        </w:rPr>
      </w:pPr>
    </w:p>
    <w:p w14:paraId="16097C1A">
      <w:pPr>
        <w:keepNext w:val="0"/>
        <w:keepLines w:val="0"/>
        <w:pageBreakBefore w:val="0"/>
        <w:kinsoku/>
        <w:wordWrap/>
        <w:overflowPunct/>
        <w:topLinePunct w:val="0"/>
        <w:autoSpaceDE/>
        <w:autoSpaceDN/>
        <w:bidi w:val="0"/>
        <w:spacing w:line="560" w:lineRule="exact"/>
        <w:ind w:firstLine="646"/>
        <w:textAlignment w:val="auto"/>
        <w:rPr>
          <w:color w:val="auto"/>
        </w:rPr>
      </w:pPr>
      <w:r>
        <w:rPr>
          <w:color w:val="auto"/>
        </w:rPr>
        <w:t>农业防灾减灾和水利救灾资金主要用于支持强制免疫</w:t>
      </w:r>
      <w:r>
        <w:rPr>
          <w:rFonts w:hint="eastAsia"/>
          <w:color w:val="auto"/>
        </w:rPr>
        <w:t>补助</w:t>
      </w:r>
      <w:r>
        <w:rPr>
          <w:color w:val="auto"/>
        </w:rPr>
        <w:t>、养殖环节无害化处理</w:t>
      </w:r>
      <w:r>
        <w:rPr>
          <w:rFonts w:hint="eastAsia"/>
          <w:color w:val="auto"/>
        </w:rPr>
        <w:t>补助</w:t>
      </w:r>
      <w:r>
        <w:rPr>
          <w:color w:val="auto"/>
        </w:rPr>
        <w:t>、农作物重大病虫害防控</w:t>
      </w:r>
      <w:r>
        <w:rPr>
          <w:rFonts w:hint="eastAsia"/>
          <w:color w:val="auto"/>
        </w:rPr>
        <w:t>补助</w:t>
      </w:r>
      <w:r>
        <w:rPr>
          <w:color w:val="auto"/>
        </w:rPr>
        <w:t>等方面</w:t>
      </w:r>
      <w:r>
        <w:rPr>
          <w:rFonts w:hint="eastAsia"/>
          <w:color w:val="auto"/>
        </w:rPr>
        <w:t>工作</w:t>
      </w:r>
      <w:r>
        <w:rPr>
          <w:color w:val="auto"/>
        </w:rPr>
        <w:t>，具体实施方案如下。</w:t>
      </w:r>
    </w:p>
    <w:p w14:paraId="58B15D6A">
      <w:pPr>
        <w:keepNext w:val="0"/>
        <w:keepLines w:val="0"/>
        <w:pageBreakBefore w:val="0"/>
        <w:kinsoku/>
        <w:wordWrap/>
        <w:overflowPunct/>
        <w:topLinePunct w:val="0"/>
        <w:autoSpaceDE/>
        <w:autoSpaceDN/>
        <w:bidi w:val="0"/>
        <w:spacing w:line="560" w:lineRule="exact"/>
        <w:ind w:firstLine="646"/>
        <w:textAlignment w:val="auto"/>
        <w:rPr>
          <w:rFonts w:eastAsia="黑体"/>
          <w:color w:val="auto"/>
        </w:rPr>
      </w:pPr>
      <w:r>
        <w:rPr>
          <w:rFonts w:eastAsia="黑体"/>
          <w:color w:val="auto"/>
        </w:rPr>
        <w:t>一、</w:t>
      </w:r>
      <w:r>
        <w:rPr>
          <w:rFonts w:hint="eastAsia" w:eastAsia="黑体"/>
          <w:color w:val="auto"/>
        </w:rPr>
        <w:t>实施</w:t>
      </w:r>
      <w:r>
        <w:rPr>
          <w:rFonts w:eastAsia="黑体"/>
          <w:color w:val="auto"/>
        </w:rPr>
        <w:t>强制免疫</w:t>
      </w:r>
      <w:r>
        <w:rPr>
          <w:rFonts w:hint="eastAsia" w:eastAsia="黑体"/>
          <w:color w:val="auto"/>
        </w:rPr>
        <w:t>补助</w:t>
      </w:r>
    </w:p>
    <w:p w14:paraId="6B4A74F3">
      <w:pPr>
        <w:keepNext w:val="0"/>
        <w:keepLines w:val="0"/>
        <w:pageBreakBefore w:val="0"/>
        <w:kinsoku/>
        <w:wordWrap/>
        <w:overflowPunct/>
        <w:topLinePunct w:val="0"/>
        <w:autoSpaceDE/>
        <w:autoSpaceDN/>
        <w:bidi w:val="0"/>
        <w:spacing w:line="560" w:lineRule="exact"/>
        <w:ind w:firstLine="640" w:firstLineChars="200"/>
        <w:textAlignment w:val="auto"/>
        <w:rPr>
          <w:color w:val="auto"/>
        </w:rPr>
      </w:pPr>
      <w:r>
        <w:rPr>
          <w:color w:val="auto"/>
        </w:rPr>
        <w:t>按照《财政部关于下达2023年农业防灾减灾和水利救灾资金（动物防疫补助）预算的通知》（财农〔2023〕23号）等文件要求，由市动物疫病预防控制中心，实施动物强制免疫疫苗（口蹄疫、高致病性禽流感、小反刍兽疫、布鲁氏菌病）集中招标采购并组织发放。</w:t>
      </w:r>
      <w:r>
        <w:rPr>
          <w:rFonts w:hint="eastAsia"/>
          <w:color w:val="auto"/>
        </w:rPr>
        <w:t>集中招标采购的动物疫病强制免疫疫苗用于发放给暂未实施强制免疫“先打后补”工作的规模以下养殖场户以及紧急免疫等</w:t>
      </w:r>
      <w:r>
        <w:rPr>
          <w:color w:val="auto"/>
        </w:rPr>
        <w:t>。</w:t>
      </w:r>
      <w:r>
        <w:rPr>
          <w:rFonts w:hint="eastAsia"/>
          <w:color w:val="auto"/>
        </w:rPr>
        <w:t>通过实施强制免疫</w:t>
      </w:r>
      <w:r>
        <w:rPr>
          <w:color w:val="auto"/>
        </w:rPr>
        <w:t>提高免疫质量和政策成效，确保高致病性禽流感、口蹄疫、小反刍兽疫抗体合格率常年保持在70%以上。</w:t>
      </w:r>
    </w:p>
    <w:p w14:paraId="739C2765">
      <w:pPr>
        <w:keepNext w:val="0"/>
        <w:keepLines w:val="0"/>
        <w:pageBreakBefore w:val="0"/>
        <w:kinsoku/>
        <w:wordWrap/>
        <w:overflowPunct/>
        <w:topLinePunct w:val="0"/>
        <w:autoSpaceDE/>
        <w:autoSpaceDN/>
        <w:bidi w:val="0"/>
        <w:spacing w:line="560" w:lineRule="exact"/>
        <w:ind w:firstLine="646"/>
        <w:textAlignment w:val="auto"/>
        <w:rPr>
          <w:rFonts w:eastAsia="黑体"/>
          <w:color w:val="auto"/>
        </w:rPr>
      </w:pPr>
      <w:r>
        <w:rPr>
          <w:rFonts w:eastAsia="黑体"/>
          <w:color w:val="auto"/>
        </w:rPr>
        <w:t>二、</w:t>
      </w:r>
      <w:r>
        <w:rPr>
          <w:rFonts w:hint="eastAsia" w:eastAsia="黑体"/>
          <w:color w:val="auto"/>
        </w:rPr>
        <w:t>实施</w:t>
      </w:r>
      <w:r>
        <w:rPr>
          <w:rFonts w:eastAsia="黑体"/>
          <w:color w:val="auto"/>
        </w:rPr>
        <w:t>养殖</w:t>
      </w:r>
      <w:r>
        <w:rPr>
          <w:rFonts w:hint="eastAsia" w:eastAsia="黑体"/>
          <w:color w:val="auto"/>
        </w:rPr>
        <w:t>屠宰</w:t>
      </w:r>
      <w:r>
        <w:rPr>
          <w:rFonts w:eastAsia="黑体"/>
          <w:color w:val="auto"/>
        </w:rPr>
        <w:t>环节无害化处理</w:t>
      </w:r>
      <w:r>
        <w:rPr>
          <w:rFonts w:hint="eastAsia" w:eastAsia="黑体"/>
          <w:color w:val="auto"/>
        </w:rPr>
        <w:t>补助</w:t>
      </w:r>
    </w:p>
    <w:p w14:paraId="5E91FC8C">
      <w:pPr>
        <w:pStyle w:val="8"/>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kern w:val="2"/>
          <w:sz w:val="32"/>
          <w:szCs w:val="32"/>
        </w:rPr>
        <w:t>按照《财政部关于下达2023年农业防灾减灾和水利救灾资金（动物防疫补助）预算的通知》（财农〔2023〕23号）</w:t>
      </w:r>
      <w:r>
        <w:rPr>
          <w:rFonts w:ascii="Times New Roman" w:hAnsi="Times New Roman" w:eastAsia="仿宋_GB2312" w:cs="Times New Roman"/>
          <w:color w:val="auto"/>
          <w:sz w:val="32"/>
          <w:szCs w:val="32"/>
        </w:rPr>
        <w:t>等文件要求，2023年继续对病死猪无害化处理给予补助。各区农业农村</w:t>
      </w:r>
      <w:r>
        <w:rPr>
          <w:rFonts w:hint="eastAsia" w:ascii="Times New Roman" w:hAnsi="Times New Roman" w:eastAsia="仿宋_GB2312" w:cs="Times New Roman"/>
          <w:color w:val="auto"/>
          <w:sz w:val="32"/>
          <w:szCs w:val="32"/>
        </w:rPr>
        <w:t>委</w:t>
      </w:r>
      <w:r>
        <w:rPr>
          <w:rFonts w:ascii="Times New Roman" w:hAnsi="Times New Roman" w:eastAsia="仿宋_GB2312" w:cs="Times New Roman"/>
          <w:color w:val="auto"/>
          <w:sz w:val="32"/>
          <w:szCs w:val="32"/>
        </w:rPr>
        <w:t>负责组织有关单位开展病死猪无害化处理监管，对病死猪是否符合补助范围进行认定，并对补助资金申报、核查、认定以及无害化处理等情况进行汇总统计，会同区财政局进行审核后，报市农业农村委审定。同时各区要加强对补助资金的监督管理，建立健全资金管理制度，加强对补助资金申请、核查、认定和发放过程的监督检查，发现问题及时纠正。</w:t>
      </w:r>
    </w:p>
    <w:p w14:paraId="617ADB98">
      <w:pPr>
        <w:keepNext w:val="0"/>
        <w:keepLines w:val="0"/>
        <w:pageBreakBefore w:val="0"/>
        <w:kinsoku/>
        <w:wordWrap/>
        <w:overflowPunct/>
        <w:topLinePunct w:val="0"/>
        <w:autoSpaceDE/>
        <w:autoSpaceDN/>
        <w:bidi w:val="0"/>
        <w:spacing w:line="560" w:lineRule="exact"/>
        <w:ind w:firstLine="646"/>
        <w:textAlignment w:val="auto"/>
        <w:rPr>
          <w:rFonts w:eastAsia="黑体"/>
          <w:color w:val="auto"/>
        </w:rPr>
      </w:pPr>
      <w:r>
        <w:rPr>
          <w:rFonts w:eastAsia="黑体"/>
          <w:color w:val="auto"/>
        </w:rPr>
        <w:t>三、</w:t>
      </w:r>
      <w:r>
        <w:rPr>
          <w:rFonts w:hint="eastAsia" w:eastAsia="黑体"/>
          <w:color w:val="auto"/>
        </w:rPr>
        <w:t>实施</w:t>
      </w:r>
      <w:r>
        <w:rPr>
          <w:rFonts w:eastAsia="黑体"/>
          <w:color w:val="auto"/>
        </w:rPr>
        <w:t>农作物重大病虫害防控</w:t>
      </w:r>
      <w:r>
        <w:rPr>
          <w:rFonts w:hint="eastAsia" w:eastAsia="黑体"/>
          <w:color w:val="auto"/>
        </w:rPr>
        <w:t>补助</w:t>
      </w:r>
    </w:p>
    <w:p w14:paraId="24DE371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color w:val="auto"/>
        </w:rPr>
      </w:pPr>
      <w:r>
        <w:rPr>
          <w:color w:val="auto"/>
        </w:rPr>
        <w:t>按照</w:t>
      </w:r>
      <w:r>
        <w:rPr>
          <w:rFonts w:hint="eastAsia"/>
          <w:color w:val="auto"/>
        </w:rPr>
        <w:t>《天津市2023年“虫口夺粮”保丰收行动方案》要求</w:t>
      </w:r>
      <w:r>
        <w:rPr>
          <w:color w:val="auto"/>
        </w:rPr>
        <w:t>，统一组织实施小麦、玉米等粮食作物统防统治面积120万亩次</w:t>
      </w:r>
      <w:r>
        <w:rPr>
          <w:rFonts w:hint="eastAsia"/>
          <w:color w:val="auto"/>
        </w:rPr>
        <w:t>，</w:t>
      </w:r>
      <w:r>
        <w:rPr>
          <w:color w:val="auto"/>
        </w:rPr>
        <w:t>统防统治覆盖率达到44.6%，绿色防控覆盖率达到54%</w:t>
      </w:r>
      <w:r>
        <w:rPr>
          <w:rFonts w:hint="eastAsia"/>
          <w:color w:val="auto"/>
        </w:rPr>
        <w:t>，</w:t>
      </w:r>
      <w:r>
        <w:rPr>
          <w:color w:val="auto"/>
        </w:rPr>
        <w:t>力争挽回更多粮食作物产量损失。组织东亚飞蝗统防统治面积40</w:t>
      </w:r>
      <w:bookmarkStart w:id="2" w:name="PageNo5"/>
      <w:r>
        <w:rPr>
          <w:color w:val="auto"/>
        </w:rPr>
        <w:t>万</w:t>
      </w:r>
      <w:bookmarkEnd w:id="2"/>
      <w:r>
        <w:rPr>
          <w:color w:val="auto"/>
        </w:rPr>
        <w:t>亩次。开展农业有害生物应急演练，提升病虫害应急处置能力</w:t>
      </w:r>
      <w:r>
        <w:rPr>
          <w:rFonts w:hint="eastAsia"/>
          <w:color w:val="auto"/>
        </w:rPr>
        <w:t>，</w:t>
      </w:r>
      <w:r>
        <w:rPr>
          <w:color w:val="auto"/>
        </w:rPr>
        <w:t>确保农作物重大病虫害总体危害损失率控制在5%以内。确保重发区域病虫疫情得到有效控制，新发突发重大农业植物疫情有效处置，不出现大面积绝收成灾，有力保障粮食安全和农业生产安全。各区也要积极争取同级财政支持，守住不发生规模性危害的底线，为全年粮食丰收提供保障。</w:t>
      </w:r>
    </w:p>
    <w:p w14:paraId="1D986934">
      <w:pPr>
        <w:keepNext w:val="0"/>
        <w:keepLines w:val="0"/>
        <w:pageBreakBefore w:val="0"/>
        <w:kinsoku/>
        <w:wordWrap/>
        <w:overflowPunct/>
        <w:topLinePunct w:val="0"/>
        <w:autoSpaceDE/>
        <w:autoSpaceDN/>
        <w:bidi w:val="0"/>
        <w:spacing w:line="560" w:lineRule="exact"/>
        <w:ind w:firstLine="646"/>
        <w:textAlignment w:val="auto"/>
        <w:rPr>
          <w:rFonts w:hint="eastAsia" w:eastAsia="黑体"/>
          <w:color w:val="auto"/>
        </w:rPr>
      </w:pPr>
      <w:r>
        <w:rPr>
          <w:rFonts w:hint="eastAsia" w:eastAsia="黑体"/>
          <w:color w:val="auto"/>
        </w:rPr>
        <w:t>四、开展农业生产防灾减灾</w:t>
      </w:r>
    </w:p>
    <w:p w14:paraId="3766DC5B">
      <w:pPr>
        <w:pStyle w:val="5"/>
        <w:keepNext w:val="0"/>
        <w:keepLines w:val="0"/>
        <w:pageBreakBefore w:val="0"/>
        <w:kinsoku/>
        <w:wordWrap/>
        <w:overflowPunct/>
        <w:topLinePunct w:val="0"/>
        <w:autoSpaceDE/>
        <w:autoSpaceDN/>
        <w:bidi w:val="0"/>
        <w:spacing w:line="560" w:lineRule="exact"/>
        <w:ind w:firstLine="640"/>
        <w:textAlignment w:val="auto"/>
        <w:rPr>
          <w:rFonts w:hint="eastAsia"/>
          <w:color w:val="auto"/>
        </w:rPr>
      </w:pPr>
      <w:r>
        <w:rPr>
          <w:color w:val="auto"/>
        </w:rPr>
        <w:t>按照《农业防灾减灾和水利救灾资金管理办法</w:t>
      </w:r>
      <w:r>
        <w:rPr>
          <w:rFonts w:hint="eastAsia"/>
          <w:color w:val="auto"/>
          <w:lang w:eastAsia="zh-CN"/>
        </w:rPr>
        <w:t>》《</w:t>
      </w:r>
      <w:r>
        <w:rPr>
          <w:rFonts w:hint="eastAsia"/>
          <w:color w:val="auto"/>
        </w:rPr>
        <w:t>市农业农村委市财政局关于印发天津市2023年中央财政农业防灾救灾资金实施方案的通知》（津农委计财〔2023〕41号）要求，</w:t>
      </w:r>
      <w:r>
        <w:rPr>
          <w:color w:val="auto"/>
        </w:rPr>
        <w:t>结合我市应对海河“23·7”流域性特大洪水灾情工作安排，2023年中央财政农业防灾救灾资金主要用于武清区、静海区、西青区、北辰区4个受灾较为严重的区开展恢复农业生产相关工作。结合本区实际制定区级项目实施方案，细化各项目实施计划、组织方式、实施主体、具体补贴标准、资金安排、管理措施等方面内容。要结合政策和项目实施要求，因地制宜选择适应不同主体、更加科学有效的支持方式，并注重更好发挥财政资金撬动作用，引导金融和社会资本加大投入。要做好各项政策统筹衔接，避免在支持内容等方面交叉重复。</w:t>
      </w:r>
    </w:p>
    <w:p w14:paraId="033F8A98">
      <w:pPr>
        <w:keepNext w:val="0"/>
        <w:keepLines w:val="0"/>
        <w:pageBreakBefore w:val="0"/>
        <w:kinsoku/>
        <w:wordWrap/>
        <w:overflowPunct/>
        <w:topLinePunct w:val="0"/>
        <w:autoSpaceDE/>
        <w:autoSpaceDN/>
        <w:bidi w:val="0"/>
        <w:spacing w:line="560" w:lineRule="exact"/>
        <w:ind w:firstLine="646"/>
        <w:textAlignment w:val="auto"/>
        <w:rPr>
          <w:rFonts w:hint="eastAsia" w:eastAsia="黑体"/>
          <w:color w:val="auto"/>
        </w:rPr>
      </w:pPr>
      <w:r>
        <w:rPr>
          <w:rFonts w:hint="eastAsia" w:eastAsia="黑体"/>
          <w:color w:val="auto"/>
        </w:rPr>
        <w:t>五、</w:t>
      </w:r>
      <w:r>
        <w:rPr>
          <w:rFonts w:eastAsia="黑体"/>
          <w:color w:val="auto"/>
        </w:rPr>
        <w:t>支持村级动物防疫体系建设</w:t>
      </w:r>
      <w:r>
        <w:rPr>
          <w:rFonts w:hint="eastAsia" w:eastAsia="黑体"/>
          <w:color w:val="auto"/>
        </w:rPr>
        <w:t>（市级政策）</w:t>
      </w:r>
    </w:p>
    <w:p w14:paraId="387EC90C">
      <w:pPr>
        <w:keepNext w:val="0"/>
        <w:keepLines w:val="0"/>
        <w:pageBreakBefore w:val="0"/>
        <w:kinsoku/>
        <w:wordWrap/>
        <w:overflowPunct/>
        <w:topLinePunct w:val="0"/>
        <w:autoSpaceDE/>
        <w:autoSpaceDN/>
        <w:bidi w:val="0"/>
        <w:spacing w:line="560" w:lineRule="exact"/>
        <w:ind w:firstLine="646"/>
        <w:textAlignment w:val="auto"/>
        <w:rPr>
          <w:color w:val="auto"/>
        </w:rPr>
      </w:pPr>
      <w:r>
        <w:rPr>
          <w:rFonts w:hint="eastAsia"/>
          <w:color w:val="auto"/>
        </w:rPr>
        <w:t>继续</w:t>
      </w:r>
      <w:r>
        <w:rPr>
          <w:color w:val="auto"/>
        </w:rPr>
        <w:t>按照《</w:t>
      </w:r>
      <w:r>
        <w:rPr>
          <w:rFonts w:hint="eastAsia"/>
          <w:color w:val="auto"/>
        </w:rPr>
        <w:t>市农委市财政局</w:t>
      </w:r>
      <w:r>
        <w:rPr>
          <w:color w:val="auto"/>
        </w:rPr>
        <w:t>关于完善村级动物防疫体系的通知》</w:t>
      </w:r>
      <w:r>
        <w:rPr>
          <w:rFonts w:hint="eastAsia"/>
          <w:color w:val="auto"/>
        </w:rPr>
        <w:t>（津农委〔2015〕9号）、</w:t>
      </w:r>
      <w:r>
        <w:rPr>
          <w:color w:val="auto"/>
        </w:rPr>
        <w:t>《天津市动物防疫补助资金管理办法》</w:t>
      </w:r>
      <w:r>
        <w:rPr>
          <w:rFonts w:hint="eastAsia"/>
          <w:color w:val="auto"/>
        </w:rPr>
        <w:t>（津财规〔2021〕18号）</w:t>
      </w:r>
      <w:r>
        <w:rPr>
          <w:color w:val="auto"/>
        </w:rPr>
        <w:t>等文件</w:t>
      </w:r>
      <w:r>
        <w:rPr>
          <w:rFonts w:hint="eastAsia"/>
          <w:color w:val="auto"/>
        </w:rPr>
        <w:t>要求</w:t>
      </w:r>
      <w:r>
        <w:rPr>
          <w:color w:val="auto"/>
        </w:rPr>
        <w:t>，对村级动物防疫员依据规定开展动物强制免疫、疫情报告、协助监督病死动物无害化处理、协助产地检疫的报检、建立动物防疫档案、加施畜禽标识、畜牧生产统计等工作给予补助。各区</w:t>
      </w:r>
      <w:r>
        <w:rPr>
          <w:rFonts w:hint="eastAsia"/>
          <w:color w:val="auto"/>
        </w:rPr>
        <w:t>农业农村</w:t>
      </w:r>
      <w:r>
        <w:rPr>
          <w:color w:val="auto"/>
        </w:rPr>
        <w:t>主管部门根据当地畜禽饲养数量和养殖模式，结合地理环境等因素，在确保严格完成防疫任务的前提下，可按照集约、高效、匹配的原则，合理设置村动物防疫员，统筹发放财政补助资金</w:t>
      </w:r>
      <w:r>
        <w:rPr>
          <w:rFonts w:hint="eastAsia"/>
          <w:color w:val="auto"/>
        </w:rPr>
        <w:t>，</w:t>
      </w:r>
      <w:r>
        <w:rPr>
          <w:color w:val="auto"/>
        </w:rPr>
        <w:t>加强资金使用管理，建立健全补助发放管理制度，对补助资金实行专账核算，资金核发原始凭证按照财务管理有关规定保存归档。</w:t>
      </w:r>
    </w:p>
    <w:p w14:paraId="2DA3E384">
      <w:pPr>
        <w:pStyle w:val="5"/>
        <w:keepNext w:val="0"/>
        <w:keepLines w:val="0"/>
        <w:pageBreakBefore w:val="0"/>
        <w:kinsoku/>
        <w:wordWrap/>
        <w:overflowPunct/>
        <w:topLinePunct w:val="0"/>
        <w:autoSpaceDE/>
        <w:autoSpaceDN/>
        <w:bidi w:val="0"/>
        <w:spacing w:line="560" w:lineRule="exact"/>
        <w:ind w:firstLine="880"/>
        <w:textAlignment w:val="auto"/>
        <w:rPr>
          <w:color w:val="auto"/>
          <w:sz w:val="44"/>
          <w:szCs w:val="44"/>
        </w:rPr>
        <w:sectPr>
          <w:footerReference r:id="rId8" w:type="default"/>
          <w:pgSz w:w="11906" w:h="16838"/>
          <w:pgMar w:top="1361" w:right="1588" w:bottom="1361" w:left="1588" w:header="851" w:footer="851" w:gutter="0"/>
          <w:pgNumType w:fmt="decimal" w:start="22"/>
          <w:cols w:space="720" w:num="1"/>
          <w:docGrid w:linePitch="612" w:charSpace="-4740"/>
        </w:sectPr>
      </w:pPr>
    </w:p>
    <w:p w14:paraId="3FF6C8FB">
      <w:pPr>
        <w:keepNext w:val="0"/>
        <w:keepLines w:val="0"/>
        <w:pageBreakBefore w:val="0"/>
        <w:kinsoku/>
        <w:wordWrap/>
        <w:overflowPunct/>
        <w:topLinePunct w:val="0"/>
        <w:autoSpaceDE/>
        <w:autoSpaceDN/>
        <w:bidi w:val="0"/>
        <w:spacing w:line="560" w:lineRule="exact"/>
        <w:textAlignment w:val="auto"/>
        <w:rPr>
          <w:rFonts w:hint="eastAsia" w:eastAsia="黑体"/>
          <w:color w:val="auto"/>
        </w:rPr>
      </w:pPr>
      <w:r>
        <w:rPr>
          <w:rFonts w:eastAsia="黑体"/>
          <w:color w:val="auto"/>
        </w:rPr>
        <w:t>附件</w:t>
      </w:r>
      <w:r>
        <w:rPr>
          <w:rFonts w:hint="eastAsia" w:eastAsia="黑体"/>
          <w:color w:val="auto"/>
        </w:rPr>
        <w:t>7</w:t>
      </w:r>
    </w:p>
    <w:p w14:paraId="7A058C2E">
      <w:pPr>
        <w:pStyle w:val="2"/>
        <w:keepNext w:val="0"/>
        <w:keepLines w:val="0"/>
        <w:pageBreakBefore w:val="0"/>
        <w:kinsoku/>
        <w:wordWrap/>
        <w:overflowPunct/>
        <w:topLinePunct w:val="0"/>
        <w:autoSpaceDE/>
        <w:autoSpaceDN/>
        <w:bidi w:val="0"/>
        <w:spacing w:line="560" w:lineRule="exact"/>
        <w:textAlignment w:val="auto"/>
        <w:rPr>
          <w:rFonts w:hint="eastAsia"/>
          <w:color w:val="auto"/>
        </w:rPr>
      </w:pPr>
    </w:p>
    <w:p w14:paraId="36CCC1CB">
      <w:pPr>
        <w:pStyle w:val="5"/>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Times New Roman" w:hAnsi="Times New Roman" w:eastAsia="方正小标宋简体" w:cs="Times New Roman"/>
          <w:color w:val="auto"/>
          <w:kern w:val="2"/>
          <w:sz w:val="44"/>
          <w:szCs w:val="44"/>
          <w:lang w:val="en-US" w:eastAsia="zh-CN" w:bidi="ar-SA"/>
        </w:rPr>
      </w:pPr>
      <w:r>
        <w:rPr>
          <w:rFonts w:hint="eastAsia" w:ascii="Times New Roman" w:hAnsi="Times New Roman" w:eastAsia="方正小标宋简体" w:cs="Times New Roman"/>
          <w:color w:val="auto"/>
          <w:kern w:val="2"/>
          <w:sz w:val="44"/>
          <w:szCs w:val="44"/>
          <w:lang w:val="en-US" w:eastAsia="zh-CN" w:bidi="ar-SA"/>
        </w:rPr>
        <w:t>农村社会发展资金项目实施方案</w:t>
      </w:r>
    </w:p>
    <w:p w14:paraId="6EC83FB1">
      <w:pPr>
        <w:keepNext w:val="0"/>
        <w:keepLines w:val="0"/>
        <w:pageBreakBefore w:val="0"/>
        <w:kinsoku/>
        <w:wordWrap/>
        <w:overflowPunct/>
        <w:topLinePunct w:val="0"/>
        <w:autoSpaceDE/>
        <w:autoSpaceDN/>
        <w:bidi w:val="0"/>
        <w:spacing w:line="560" w:lineRule="exact"/>
        <w:ind w:firstLine="646"/>
        <w:textAlignment w:val="auto"/>
        <w:rPr>
          <w:rFonts w:eastAsia="方正小标宋简体"/>
          <w:color w:val="auto"/>
          <w:sz w:val="44"/>
          <w:szCs w:val="44"/>
        </w:rPr>
      </w:pPr>
    </w:p>
    <w:p w14:paraId="25C442FF">
      <w:pPr>
        <w:keepNext w:val="0"/>
        <w:keepLines w:val="0"/>
        <w:pageBreakBefore w:val="0"/>
        <w:kinsoku/>
        <w:wordWrap/>
        <w:overflowPunct/>
        <w:topLinePunct w:val="0"/>
        <w:autoSpaceDE/>
        <w:autoSpaceDN/>
        <w:bidi w:val="0"/>
        <w:spacing w:line="560" w:lineRule="exact"/>
        <w:ind w:firstLine="646"/>
        <w:textAlignment w:val="auto"/>
        <w:rPr>
          <w:rFonts w:hint="eastAsia"/>
          <w:color w:val="auto"/>
        </w:rPr>
      </w:pPr>
      <w:r>
        <w:rPr>
          <w:rFonts w:hint="eastAsia"/>
          <w:color w:val="auto"/>
        </w:rPr>
        <w:t>农村社会发展资金主要用于支持农村“厕所革命”、农村生活污水处理设施运行维护、“百千工程”示范村、乡村振兴示范村、“五好两宜”和美乡村、美丽乡村和农村公益事业建设等方面，具体实施方案如下。</w:t>
      </w:r>
    </w:p>
    <w:p w14:paraId="5993BA4A">
      <w:pPr>
        <w:keepNext w:val="0"/>
        <w:keepLines w:val="0"/>
        <w:pageBreakBefore w:val="0"/>
        <w:kinsoku/>
        <w:wordWrap/>
        <w:overflowPunct/>
        <w:topLinePunct w:val="0"/>
        <w:autoSpaceDE/>
        <w:autoSpaceDN/>
        <w:bidi w:val="0"/>
        <w:spacing w:line="560" w:lineRule="exact"/>
        <w:ind w:firstLine="646"/>
        <w:textAlignment w:val="auto"/>
        <w:rPr>
          <w:rFonts w:hint="eastAsia" w:ascii="黑体" w:hAnsi="黑体" w:eastAsia="黑体"/>
          <w:color w:val="auto"/>
        </w:rPr>
      </w:pPr>
      <w:r>
        <w:rPr>
          <w:rFonts w:hint="eastAsia" w:ascii="黑体" w:hAnsi="黑体" w:eastAsia="黑体"/>
          <w:color w:val="auto"/>
        </w:rPr>
        <w:t>一、支持农村“厕所革命”</w:t>
      </w:r>
    </w:p>
    <w:p w14:paraId="0BE7A150">
      <w:pPr>
        <w:keepNext w:val="0"/>
        <w:keepLines w:val="0"/>
        <w:pageBreakBefore w:val="0"/>
        <w:kinsoku/>
        <w:wordWrap/>
        <w:overflowPunct/>
        <w:topLinePunct w:val="0"/>
        <w:autoSpaceDE/>
        <w:autoSpaceDN/>
        <w:bidi w:val="0"/>
        <w:spacing w:line="560" w:lineRule="exact"/>
        <w:ind w:firstLine="646"/>
        <w:textAlignment w:val="auto"/>
        <w:rPr>
          <w:rFonts w:hint="eastAsia"/>
          <w:color w:val="auto"/>
        </w:rPr>
      </w:pPr>
      <w:r>
        <w:rPr>
          <w:rFonts w:hint="eastAsia"/>
          <w:color w:val="auto"/>
        </w:rPr>
        <w:t>按照《关于分解下达“十四五”期间我市农村户厕改造提升任务的通知》等文件要求，本着“尊重群众意愿、愿改尽改”的原则，持续开展农村厕所革命工作，市级补助标准为1000元/户，用于蓟州区、宝坻区、武清区、宁河区、静海区农村户厕改造。资金已通过《天津市财政局关于下达2023年中央财政农村综合改革转移支付等预算的通知》（津财农指〔2023〕20号）拨付至各相关区，要进一步加快资金执行进度。</w:t>
      </w:r>
    </w:p>
    <w:p w14:paraId="58DD1FF3">
      <w:pPr>
        <w:keepNext w:val="0"/>
        <w:keepLines w:val="0"/>
        <w:pageBreakBefore w:val="0"/>
        <w:kinsoku/>
        <w:wordWrap/>
        <w:overflowPunct/>
        <w:topLinePunct w:val="0"/>
        <w:autoSpaceDE/>
        <w:autoSpaceDN/>
        <w:bidi w:val="0"/>
        <w:spacing w:line="560" w:lineRule="exact"/>
        <w:ind w:firstLine="646"/>
        <w:textAlignment w:val="auto"/>
        <w:rPr>
          <w:rFonts w:hint="eastAsia" w:ascii="黑体" w:hAnsi="黑体" w:eastAsia="黑体"/>
          <w:color w:val="auto"/>
        </w:rPr>
      </w:pPr>
      <w:r>
        <w:rPr>
          <w:rFonts w:hint="eastAsia" w:ascii="黑体" w:hAnsi="黑体" w:eastAsia="黑体"/>
          <w:color w:val="auto"/>
          <w:lang w:val="en"/>
        </w:rPr>
        <w:t>二、</w:t>
      </w:r>
      <w:r>
        <w:rPr>
          <w:rFonts w:hint="eastAsia" w:ascii="黑体" w:hAnsi="黑体" w:eastAsia="黑体"/>
          <w:color w:val="auto"/>
        </w:rPr>
        <w:t>支持农村生活污水处理设施运行维护</w:t>
      </w:r>
    </w:p>
    <w:p w14:paraId="392ED23B">
      <w:pPr>
        <w:keepNext w:val="0"/>
        <w:keepLines w:val="0"/>
        <w:pageBreakBefore w:val="0"/>
        <w:kinsoku/>
        <w:wordWrap/>
        <w:overflowPunct/>
        <w:topLinePunct w:val="0"/>
        <w:autoSpaceDE/>
        <w:autoSpaceDN/>
        <w:bidi w:val="0"/>
        <w:spacing w:line="560" w:lineRule="exact"/>
        <w:ind w:firstLine="646"/>
        <w:textAlignment w:val="auto"/>
        <w:rPr>
          <w:rFonts w:hint="eastAsia"/>
          <w:color w:val="auto"/>
        </w:rPr>
      </w:pPr>
      <w:r>
        <w:rPr>
          <w:rFonts w:hint="eastAsia"/>
          <w:color w:val="auto"/>
        </w:rPr>
        <w:t>2022年度</w:t>
      </w:r>
      <w:r>
        <w:rPr>
          <w:color w:val="auto"/>
        </w:rPr>
        <w:t>农村生活污水处理设施</w:t>
      </w:r>
      <w:r>
        <w:rPr>
          <w:rFonts w:hint="eastAsia"/>
          <w:color w:val="auto"/>
        </w:rPr>
        <w:t>运行维护</w:t>
      </w:r>
      <w:r>
        <w:rPr>
          <w:color w:val="auto"/>
        </w:rPr>
        <w:t>市级补助</w:t>
      </w:r>
      <w:r>
        <w:rPr>
          <w:rFonts w:hint="eastAsia"/>
          <w:color w:val="auto"/>
        </w:rPr>
        <w:t>资金共11281万元，已通过《天津市财政局关于提前下达中央财政2023年农业农村转移支付预算指标的通知》（津财农指〔2022〕44号）、《天津市财政局关于提前下达2023年农业农村转移支付资金预算（市级调剂资金）的通知》（津财农指〔2022〕46号）、《天津市财政局关于下达2023市财政农业农村转移支付预算指标的通知》</w:t>
      </w:r>
      <w:r>
        <w:rPr>
          <w:color w:val="auto"/>
        </w:rPr>
        <w:t>（</w:t>
      </w:r>
      <w:r>
        <w:rPr>
          <w:rFonts w:hint="eastAsia"/>
          <w:color w:val="auto"/>
        </w:rPr>
        <w:t>津财农指〔2023〕1号</w:t>
      </w:r>
      <w:r>
        <w:rPr>
          <w:color w:val="auto"/>
        </w:rPr>
        <w:t>）</w:t>
      </w:r>
      <w:r>
        <w:rPr>
          <w:rFonts w:hint="eastAsia"/>
          <w:color w:val="auto"/>
        </w:rPr>
        <w:t>下达至</w:t>
      </w:r>
      <w:r>
        <w:rPr>
          <w:color w:val="auto"/>
        </w:rPr>
        <w:t>各</w:t>
      </w:r>
      <w:r>
        <w:rPr>
          <w:rFonts w:hint="eastAsia"/>
          <w:color w:val="auto"/>
        </w:rPr>
        <w:t>相关区，要</w:t>
      </w:r>
      <w:r>
        <w:rPr>
          <w:color w:val="auto"/>
        </w:rPr>
        <w:t>进一步加快资金</w:t>
      </w:r>
      <w:r>
        <w:rPr>
          <w:rFonts w:hint="eastAsia"/>
          <w:color w:val="auto"/>
        </w:rPr>
        <w:t>执行</w:t>
      </w:r>
      <w:r>
        <w:rPr>
          <w:color w:val="auto"/>
        </w:rPr>
        <w:t>进度。</w:t>
      </w:r>
    </w:p>
    <w:p w14:paraId="59B9D5D1">
      <w:pPr>
        <w:keepNext w:val="0"/>
        <w:keepLines w:val="0"/>
        <w:pageBreakBefore w:val="0"/>
        <w:kinsoku/>
        <w:wordWrap/>
        <w:overflowPunct/>
        <w:topLinePunct w:val="0"/>
        <w:autoSpaceDE/>
        <w:autoSpaceDN/>
        <w:bidi w:val="0"/>
        <w:spacing w:line="560" w:lineRule="exact"/>
        <w:ind w:firstLine="640" w:firstLineChars="200"/>
        <w:textAlignment w:val="auto"/>
        <w:rPr>
          <w:rFonts w:hint="eastAsia"/>
          <w:color w:val="auto"/>
        </w:rPr>
      </w:pPr>
    </w:p>
    <w:p w14:paraId="73E449F4">
      <w:pPr>
        <w:keepNext w:val="0"/>
        <w:keepLines w:val="0"/>
        <w:pageBreakBefore w:val="0"/>
        <w:kinsoku/>
        <w:wordWrap/>
        <w:overflowPunct/>
        <w:topLinePunct w:val="0"/>
        <w:autoSpaceDE/>
        <w:autoSpaceDN/>
        <w:bidi w:val="0"/>
        <w:spacing w:line="560" w:lineRule="exact"/>
        <w:ind w:left="640"/>
        <w:textAlignment w:val="auto"/>
        <w:rPr>
          <w:rFonts w:hint="eastAsia" w:ascii="黑体" w:hAnsi="黑体" w:eastAsia="黑体"/>
          <w:color w:val="auto"/>
          <w:highlight w:val="none"/>
        </w:rPr>
      </w:pPr>
      <w:r>
        <w:rPr>
          <w:rFonts w:hint="eastAsia" w:ascii="黑体" w:hAnsi="黑体" w:eastAsia="黑体"/>
          <w:color w:val="auto"/>
          <w:highlight w:val="none"/>
        </w:rPr>
        <w:t>三、支持“百千工程”示范村建设</w:t>
      </w:r>
    </w:p>
    <w:p w14:paraId="170C991D">
      <w:pPr>
        <w:keepNext w:val="0"/>
        <w:keepLines w:val="0"/>
        <w:pageBreakBefore w:val="0"/>
        <w:kinsoku/>
        <w:wordWrap/>
        <w:overflowPunct/>
        <w:topLinePunct w:val="0"/>
        <w:autoSpaceDE/>
        <w:autoSpaceDN/>
        <w:bidi w:val="0"/>
        <w:spacing w:line="560" w:lineRule="exact"/>
        <w:ind w:firstLine="646"/>
        <w:textAlignment w:val="auto"/>
        <w:rPr>
          <w:rFonts w:hint="eastAsia"/>
          <w:color w:val="auto"/>
          <w:highlight w:val="none"/>
        </w:rPr>
      </w:pPr>
      <w:r>
        <w:rPr>
          <w:rFonts w:hint="eastAsia"/>
          <w:color w:val="auto"/>
          <w:highlight w:val="none"/>
        </w:rPr>
        <w:t>按照《关于“百村示范、千村整治”工程的实施方案》（津人居环境整治办〔2019〕2号）要求，第二批150个农村人居环境整治示范村已完成创建。2023年预算资金已通过《天津市财政局关于下达2023市财政农业农村转移支付预算指标的通知》（津财农指〔2023〕1号）</w:t>
      </w:r>
      <w:r>
        <w:rPr>
          <w:rFonts w:hint="eastAsia"/>
          <w:color w:val="auto"/>
          <w:highlight w:val="none"/>
          <w:lang w:eastAsia="zh-CN"/>
        </w:rPr>
        <w:t>、《市农业农村委关于拨付“百千工程”示范村建设补助资金的通知》（津农委计财</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2023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46号</w:t>
      </w:r>
      <w:r>
        <w:rPr>
          <w:rFonts w:hint="eastAsia" w:ascii="Times New Roman" w:hAnsi="Times New Roman" w:cs="Times New Roman"/>
          <w:color w:val="auto"/>
          <w:highlight w:val="none"/>
          <w:lang w:eastAsia="zh-CN"/>
        </w:rPr>
        <w:t>）</w:t>
      </w:r>
      <w:r>
        <w:rPr>
          <w:rFonts w:hint="eastAsia"/>
          <w:color w:val="auto"/>
          <w:highlight w:val="none"/>
        </w:rPr>
        <w:t>拨付至各相关区，要</w:t>
      </w:r>
      <w:r>
        <w:rPr>
          <w:color w:val="auto"/>
          <w:highlight w:val="none"/>
        </w:rPr>
        <w:t>进一步加快资金</w:t>
      </w:r>
      <w:r>
        <w:rPr>
          <w:rFonts w:hint="eastAsia"/>
          <w:color w:val="auto"/>
          <w:highlight w:val="none"/>
        </w:rPr>
        <w:t>执行</w:t>
      </w:r>
      <w:r>
        <w:rPr>
          <w:color w:val="auto"/>
          <w:highlight w:val="none"/>
        </w:rPr>
        <w:t>进度。</w:t>
      </w:r>
    </w:p>
    <w:p w14:paraId="32A8226F">
      <w:pPr>
        <w:pStyle w:val="5"/>
        <w:keepNext w:val="0"/>
        <w:keepLines w:val="0"/>
        <w:pageBreakBefore w:val="0"/>
        <w:kinsoku/>
        <w:wordWrap/>
        <w:overflowPunct/>
        <w:topLinePunct w:val="0"/>
        <w:autoSpaceDE/>
        <w:autoSpaceDN/>
        <w:bidi w:val="0"/>
        <w:spacing w:line="560" w:lineRule="exact"/>
        <w:ind w:left="640" w:firstLine="0" w:firstLineChars="0"/>
        <w:textAlignment w:val="auto"/>
        <w:rPr>
          <w:rFonts w:hint="eastAsia" w:ascii="黑体" w:hAnsi="黑体" w:eastAsia="黑体"/>
          <w:color w:val="auto"/>
          <w:highlight w:val="none"/>
        </w:rPr>
      </w:pPr>
      <w:r>
        <w:rPr>
          <w:rFonts w:hint="eastAsia" w:ascii="黑体" w:hAnsi="黑体" w:eastAsia="黑体"/>
          <w:color w:val="auto"/>
          <w:highlight w:val="none"/>
          <w:lang w:eastAsia="zh-CN"/>
        </w:rPr>
        <w:t>四</w:t>
      </w:r>
      <w:r>
        <w:rPr>
          <w:rFonts w:hint="eastAsia" w:ascii="黑体" w:hAnsi="黑体" w:eastAsia="黑体"/>
          <w:color w:val="auto"/>
          <w:highlight w:val="none"/>
        </w:rPr>
        <w:t>、乡村振兴示范村创建</w:t>
      </w:r>
    </w:p>
    <w:p w14:paraId="680B5CAA">
      <w:pPr>
        <w:keepNext w:val="0"/>
        <w:keepLines w:val="0"/>
        <w:pageBreakBefore w:val="0"/>
        <w:widowControl/>
        <w:kinsoku/>
        <w:wordWrap/>
        <w:overflowPunct/>
        <w:topLinePunct w:val="0"/>
        <w:autoSpaceDE/>
        <w:autoSpaceDN/>
        <w:bidi w:val="0"/>
        <w:spacing w:line="560" w:lineRule="exact"/>
        <w:ind w:firstLine="640"/>
        <w:textAlignment w:val="auto"/>
        <w:rPr>
          <w:rFonts w:ascii="仿宋_GB2312" w:cs="仿宋_GB2312"/>
          <w:color w:val="auto"/>
          <w:highlight w:val="none"/>
        </w:rPr>
      </w:pPr>
      <w:r>
        <w:rPr>
          <w:rFonts w:hint="eastAsia"/>
          <w:color w:val="auto"/>
          <w:highlight w:val="none"/>
        </w:rPr>
        <w:t>按照《天津市乡村振兴示范村创建实施方案》（津农组发〔2021〕9号）、《天津市财政局关于加强财政补助乡村振兴示范村和经济薄弱资金管理的通知》（津财农〔2022〕31号）要求，做好乡村振兴示范村创建工作，围绕“三美”68项建设评价指标，推动示范村全面发展、融合发展、创新发展，打造经济高质量发展的先行村、农村综合改革的试点村、环境生态宜居的样板村、乡村文明善治的幸福村，引领带动全市农村共同发展，推动乡村全面振兴。</w:t>
      </w:r>
    </w:p>
    <w:p w14:paraId="20B1F261">
      <w:pPr>
        <w:pStyle w:val="5"/>
        <w:keepNext w:val="0"/>
        <w:keepLines w:val="0"/>
        <w:pageBreakBefore w:val="0"/>
        <w:kinsoku/>
        <w:wordWrap/>
        <w:overflowPunct/>
        <w:topLinePunct w:val="0"/>
        <w:autoSpaceDE/>
        <w:autoSpaceDN/>
        <w:bidi w:val="0"/>
        <w:spacing w:line="560" w:lineRule="exact"/>
        <w:ind w:left="640" w:firstLine="0" w:firstLineChars="0"/>
        <w:textAlignment w:val="auto"/>
        <w:rPr>
          <w:rFonts w:hint="eastAsia" w:ascii="黑体" w:hAnsi="黑体" w:eastAsia="黑体"/>
          <w:color w:val="auto"/>
          <w:highlight w:val="none"/>
        </w:rPr>
      </w:pPr>
      <w:r>
        <w:rPr>
          <w:rFonts w:hint="eastAsia" w:ascii="黑体" w:hAnsi="黑体" w:eastAsia="黑体"/>
          <w:color w:val="auto"/>
          <w:highlight w:val="none"/>
          <w:lang w:eastAsia="zh-CN"/>
        </w:rPr>
        <w:t>五</w:t>
      </w:r>
      <w:r>
        <w:rPr>
          <w:rFonts w:hint="eastAsia" w:ascii="黑体" w:hAnsi="黑体" w:eastAsia="黑体"/>
          <w:color w:val="auto"/>
          <w:highlight w:val="none"/>
        </w:rPr>
        <w:t>、支持“五好两宜”和美乡村试点实验</w:t>
      </w:r>
    </w:p>
    <w:p w14:paraId="743D90FF">
      <w:pPr>
        <w:pStyle w:val="5"/>
        <w:keepNext w:val="0"/>
        <w:keepLines w:val="0"/>
        <w:pageBreakBefore w:val="0"/>
        <w:kinsoku/>
        <w:wordWrap/>
        <w:overflowPunct/>
        <w:topLinePunct w:val="0"/>
        <w:autoSpaceDE/>
        <w:autoSpaceDN/>
        <w:bidi w:val="0"/>
        <w:spacing w:line="560" w:lineRule="exact"/>
        <w:ind w:firstLine="640" w:firstLineChars="0"/>
        <w:textAlignment w:val="auto"/>
        <w:rPr>
          <w:rFonts w:hint="eastAsia"/>
          <w:color w:val="auto"/>
          <w:highlight w:val="none"/>
        </w:rPr>
      </w:pPr>
      <w:r>
        <w:rPr>
          <w:rFonts w:hint="eastAsia"/>
          <w:color w:val="auto"/>
          <w:highlight w:val="none"/>
        </w:rPr>
        <w:t>2023年，</w:t>
      </w:r>
      <w:r>
        <w:rPr>
          <w:rFonts w:hint="eastAsia"/>
          <w:color w:val="auto"/>
          <w:highlight w:val="none"/>
          <w:lang w:val="en"/>
        </w:rPr>
        <w:t>我市通过竞争性遴选成功入选</w:t>
      </w:r>
      <w:r>
        <w:rPr>
          <w:color w:val="auto"/>
          <w:highlight w:val="none"/>
        </w:rPr>
        <w:t>全国首批“五</w:t>
      </w:r>
      <w:r>
        <w:rPr>
          <w:color w:val="auto"/>
          <w:highlight w:val="none"/>
          <w:lang w:eastAsia="zh-Hans"/>
        </w:rPr>
        <w:t>好</w:t>
      </w:r>
      <w:r>
        <w:rPr>
          <w:color w:val="auto"/>
          <w:highlight w:val="none"/>
        </w:rPr>
        <w:t>两宜”和美乡村试点试验项目</w:t>
      </w:r>
      <w:r>
        <w:rPr>
          <w:rFonts w:hint="eastAsia"/>
          <w:color w:val="auto"/>
          <w:highlight w:val="none"/>
        </w:rPr>
        <w:t>。</w:t>
      </w:r>
      <w:r>
        <w:rPr>
          <w:rFonts w:hint="eastAsia"/>
          <w:color w:val="auto"/>
          <w:highlight w:val="none"/>
          <w:lang w:eastAsia="zh-CN"/>
        </w:rPr>
        <w:t>按照《天津市财政局天津市农业农村委员会关于加强“五好两宜”和美乡村试点试验项目资金管理的通知》，</w:t>
      </w:r>
      <w:r>
        <w:rPr>
          <w:rFonts w:hint="eastAsia"/>
          <w:color w:val="auto"/>
          <w:highlight w:val="none"/>
        </w:rPr>
        <w:t>“五好两宜”和美乡村试点试验项目实行市负总责、区抓落实、乡镇具体组织实施的管理机制。建立市财政部门牵头，市农业农村等相关部门参与的工作机制，加强对试点区工作的督促、指导、考核，及时发现、纠偏出现的苗头性问题。试点区要建立由主要负责同志挂帅，财政部门牵头，农业农村、组织、宣传、规划自然资源等有关部门参加的区级试点工作推进机制，加强工作统筹衔接和组织推动，应明确核心支持内容和目标，确保按时保质完成年度建设任务，强化预算执行和绩效监控。</w:t>
      </w:r>
    </w:p>
    <w:p w14:paraId="798D9195">
      <w:pPr>
        <w:pStyle w:val="5"/>
        <w:keepNext w:val="0"/>
        <w:keepLines w:val="0"/>
        <w:pageBreakBefore w:val="0"/>
        <w:kinsoku/>
        <w:wordWrap/>
        <w:overflowPunct/>
        <w:topLinePunct w:val="0"/>
        <w:autoSpaceDE/>
        <w:autoSpaceDN/>
        <w:bidi w:val="0"/>
        <w:spacing w:line="560" w:lineRule="exact"/>
        <w:ind w:left="640" w:firstLine="0" w:firstLineChars="0"/>
        <w:textAlignment w:val="auto"/>
        <w:rPr>
          <w:rFonts w:hint="eastAsia" w:ascii="黑体" w:hAnsi="黑体" w:eastAsia="黑体"/>
          <w:color w:val="auto"/>
          <w:highlight w:val="none"/>
        </w:rPr>
      </w:pPr>
      <w:r>
        <w:rPr>
          <w:rFonts w:hint="eastAsia" w:ascii="黑体" w:hAnsi="黑体" w:eastAsia="黑体"/>
          <w:color w:val="auto"/>
          <w:highlight w:val="none"/>
          <w:lang w:eastAsia="zh-CN"/>
        </w:rPr>
        <w:t>六</w:t>
      </w:r>
      <w:r>
        <w:rPr>
          <w:rFonts w:hint="eastAsia" w:ascii="黑体" w:hAnsi="黑体" w:eastAsia="黑体"/>
          <w:color w:val="auto"/>
          <w:highlight w:val="none"/>
        </w:rPr>
        <w:t>、农村公益事业建设奖补</w:t>
      </w:r>
    </w:p>
    <w:p w14:paraId="330086F4">
      <w:pPr>
        <w:pStyle w:val="5"/>
        <w:keepNext w:val="0"/>
        <w:keepLines w:val="0"/>
        <w:pageBreakBefore w:val="0"/>
        <w:kinsoku/>
        <w:wordWrap/>
        <w:overflowPunct/>
        <w:topLinePunct w:val="0"/>
        <w:autoSpaceDE/>
        <w:autoSpaceDN/>
        <w:bidi w:val="0"/>
        <w:spacing w:line="560" w:lineRule="exact"/>
        <w:ind w:firstLine="0" w:firstLineChars="0"/>
        <w:textAlignment w:val="auto"/>
        <w:rPr>
          <w:rFonts w:ascii="方正楷体_GBK" w:hAnsi="方正楷体_GBK" w:eastAsia="方正楷体_GBK" w:cs="方正楷体_GBK"/>
          <w:color w:val="auto"/>
          <w:highlight w:val="none"/>
        </w:rPr>
      </w:pPr>
      <w:r>
        <w:rPr>
          <w:rFonts w:hint="eastAsia" w:ascii="黑体" w:hAnsi="黑体" w:eastAsia="黑体"/>
          <w:color w:val="auto"/>
          <w:highlight w:val="none"/>
        </w:rPr>
        <w:t xml:space="preserve">  </w:t>
      </w:r>
      <w:r>
        <w:rPr>
          <w:rFonts w:hint="eastAsia" w:ascii="仿宋_GB2312" w:cs="仿宋_GB2312"/>
          <w:color w:val="auto"/>
          <w:highlight w:val="none"/>
        </w:rPr>
        <w:t xml:space="preserve">  </w:t>
      </w:r>
      <w:r>
        <w:rPr>
          <w:rFonts w:hint="eastAsia" w:ascii="Times New Roman" w:hAnsi="Times New Roman" w:cs="Times New Roman"/>
          <w:color w:val="auto"/>
          <w:highlight w:val="none"/>
        </w:rPr>
        <w:t>按照《农村综合改革转移支付管理办法》（财农〔2021〕36号）要</w:t>
      </w:r>
      <w:r>
        <w:rPr>
          <w:rFonts w:hint="eastAsia" w:ascii="仿宋_GB2312" w:cs="仿宋_GB2312"/>
          <w:color w:val="auto"/>
          <w:highlight w:val="none"/>
        </w:rPr>
        <w:t>求，结合我市实际支持农村公益事业建设，支持民宿较为集中的村开展村民活动中心建设试点，支持试点村通过改扩建村民活动中心，提高村民集中活动保障水平，提升乡村民宿服务能力。该资金已通过</w:t>
      </w:r>
      <w:r>
        <w:rPr>
          <w:rFonts w:hint="eastAsia"/>
          <w:color w:val="auto"/>
          <w:highlight w:val="none"/>
        </w:rPr>
        <w:t>《天津市财政局关于下达2023年中央财政农村综合改革转移支付等预算的通知》（津财农指〔2023〕20号）拨付至</w:t>
      </w:r>
      <w:r>
        <w:rPr>
          <w:rFonts w:hint="eastAsia" w:ascii="仿宋_GB2312" w:cs="仿宋_GB2312"/>
          <w:color w:val="auto"/>
          <w:highlight w:val="none"/>
        </w:rPr>
        <w:t>蓟州区、宁河区，请根据实际情况编制实施方案，并组织推进建设，确保年内按期完成建设任务。两区发挥主体作用，做好项目的审批、推动、考核验收等工作，考核验收结果报市农业农村委、市财政局备案。</w:t>
      </w:r>
    </w:p>
    <w:p w14:paraId="5E3E0AD3">
      <w:pPr>
        <w:pStyle w:val="5"/>
        <w:keepNext w:val="0"/>
        <w:keepLines w:val="0"/>
        <w:pageBreakBefore w:val="0"/>
        <w:kinsoku/>
        <w:wordWrap/>
        <w:overflowPunct/>
        <w:topLinePunct w:val="0"/>
        <w:autoSpaceDE/>
        <w:autoSpaceDN/>
        <w:bidi w:val="0"/>
        <w:spacing w:line="560" w:lineRule="exact"/>
        <w:ind w:firstLine="0" w:firstLineChars="0"/>
        <w:textAlignment w:val="auto"/>
        <w:rPr>
          <w:rFonts w:hint="eastAsia" w:ascii="黑体" w:hAnsi="黑体" w:eastAsia="黑体"/>
          <w:color w:val="auto"/>
          <w:highlight w:val="none"/>
        </w:rPr>
      </w:pPr>
      <w:r>
        <w:rPr>
          <w:rFonts w:hint="eastAsia" w:ascii="黑体" w:hAnsi="黑体" w:eastAsia="黑体"/>
          <w:color w:val="auto"/>
          <w:highlight w:val="none"/>
        </w:rPr>
        <w:t xml:space="preserve">    </w:t>
      </w:r>
      <w:r>
        <w:rPr>
          <w:rFonts w:hint="eastAsia" w:ascii="黑体" w:hAnsi="黑体" w:eastAsia="黑体"/>
          <w:color w:val="auto"/>
          <w:highlight w:val="none"/>
          <w:lang w:eastAsia="zh-CN"/>
        </w:rPr>
        <w:t>七</w:t>
      </w:r>
      <w:r>
        <w:rPr>
          <w:rFonts w:hint="eastAsia" w:ascii="黑体" w:hAnsi="黑体" w:eastAsia="黑体"/>
          <w:color w:val="auto"/>
          <w:highlight w:val="none"/>
        </w:rPr>
        <w:t>、美丽乡村奖补</w:t>
      </w:r>
    </w:p>
    <w:p w14:paraId="76E623EC">
      <w:pPr>
        <w:pStyle w:val="5"/>
        <w:keepNext w:val="0"/>
        <w:keepLines w:val="0"/>
        <w:pageBreakBefore w:val="0"/>
        <w:kinsoku/>
        <w:wordWrap/>
        <w:overflowPunct/>
        <w:topLinePunct w:val="0"/>
        <w:autoSpaceDE/>
        <w:autoSpaceDN/>
        <w:bidi w:val="0"/>
        <w:spacing w:line="560" w:lineRule="exact"/>
        <w:ind w:firstLine="640" w:firstLineChars="0"/>
        <w:textAlignment w:val="auto"/>
        <w:rPr>
          <w:rFonts w:hint="eastAsia" w:ascii="仿宋_GB2312" w:cs="仿宋_GB2312"/>
          <w:color w:val="auto"/>
          <w:highlight w:val="none"/>
        </w:rPr>
      </w:pPr>
      <w:r>
        <w:rPr>
          <w:rFonts w:hint="eastAsia" w:ascii="仿宋_GB2312" w:cs="仿宋_GB2312"/>
          <w:color w:val="auto"/>
          <w:highlight w:val="none"/>
        </w:rPr>
        <w:t>按照中央财政资金支出管理和使用方向要求，为集中力量提升农村人居环境整治水平，统筹做好我市美丽村庄建设推进衔接工作，美丽乡村奖补资金用于激励近三年来在改善农村人居环境和美丽乡村建设方面取得明显成效并获得国家奖励支持的宝坻区、武清区。其中，宝坻区</w:t>
      </w:r>
      <w:r>
        <w:rPr>
          <w:rFonts w:hint="eastAsia"/>
          <w:color w:val="auto"/>
          <w:kern w:val="0"/>
          <w:highlight w:val="none"/>
        </w:rPr>
        <w:t>2021</w:t>
      </w:r>
      <w:r>
        <w:rPr>
          <w:rFonts w:hint="eastAsia" w:ascii="仿宋_GB2312" w:cs="仿宋_GB2312"/>
          <w:color w:val="auto"/>
          <w:highlight w:val="none"/>
        </w:rPr>
        <w:t>年被国务院办公厅通报为</w:t>
      </w:r>
      <w:r>
        <w:rPr>
          <w:rFonts w:ascii="仿宋_GB2312" w:cs="仿宋_GB2312"/>
          <w:color w:val="auto"/>
          <w:highlight w:val="none"/>
        </w:rPr>
        <w:t>“</w:t>
      </w:r>
      <w:r>
        <w:rPr>
          <w:rFonts w:hint="eastAsia" w:ascii="仿宋_GB2312" w:cs="仿宋_GB2312"/>
          <w:color w:val="auto"/>
          <w:highlight w:val="none"/>
        </w:rPr>
        <w:t>促进乡村产业振兴、改善农村人居环境等乡村振兴重点工作成效明显的地方</w:t>
      </w:r>
      <w:r>
        <w:rPr>
          <w:rFonts w:ascii="仿宋_GB2312" w:cs="仿宋_GB2312"/>
          <w:color w:val="auto"/>
          <w:highlight w:val="none"/>
        </w:rPr>
        <w:t>”</w:t>
      </w:r>
      <w:r>
        <w:rPr>
          <w:rFonts w:hint="eastAsia" w:ascii="仿宋_GB2312" w:cs="仿宋_GB2312"/>
          <w:color w:val="auto"/>
          <w:highlight w:val="none"/>
        </w:rPr>
        <w:t>，武清区今年被财政部、农业农村部评为“五好两宜”和美乡村试验试点。中央资金用于支持两个区分别建设不</w:t>
      </w:r>
      <w:r>
        <w:rPr>
          <w:rFonts w:hint="eastAsia"/>
          <w:color w:val="auto"/>
          <w:kern w:val="0"/>
          <w:highlight w:val="none"/>
        </w:rPr>
        <w:t>低于3个</w:t>
      </w:r>
      <w:r>
        <w:rPr>
          <w:rFonts w:hint="eastAsia" w:ascii="仿宋_GB2312" w:cs="仿宋_GB2312"/>
          <w:color w:val="auto"/>
          <w:highlight w:val="none"/>
        </w:rPr>
        <w:t>美丽村庄，具体建设村庄名单由各区自行确定，并报市农业农村委和市财政局备案。</w:t>
      </w:r>
    </w:p>
    <w:p w14:paraId="6369C27F">
      <w:pPr>
        <w:pStyle w:val="5"/>
        <w:keepNext w:val="0"/>
        <w:keepLines w:val="0"/>
        <w:pageBreakBefore w:val="0"/>
        <w:kinsoku/>
        <w:wordWrap/>
        <w:overflowPunct/>
        <w:topLinePunct w:val="0"/>
        <w:autoSpaceDE/>
        <w:autoSpaceDN/>
        <w:bidi w:val="0"/>
        <w:spacing w:line="560" w:lineRule="exact"/>
        <w:ind w:firstLine="0" w:firstLineChars="0"/>
        <w:textAlignment w:val="auto"/>
        <w:rPr>
          <w:rFonts w:hint="eastAsia" w:ascii="黑体" w:hAnsi="黑体" w:eastAsia="黑体"/>
          <w:color w:val="auto"/>
          <w:highlight w:val="none"/>
        </w:rPr>
      </w:pPr>
      <w:r>
        <w:rPr>
          <w:rFonts w:hint="eastAsia" w:ascii="黑体" w:hAnsi="黑体" w:eastAsia="黑体"/>
          <w:color w:val="auto"/>
          <w:highlight w:val="none"/>
        </w:rPr>
        <w:t xml:space="preserve">    </w:t>
      </w:r>
      <w:r>
        <w:rPr>
          <w:rFonts w:hint="eastAsia" w:ascii="黑体" w:hAnsi="黑体" w:eastAsia="黑体"/>
          <w:color w:val="auto"/>
          <w:highlight w:val="none"/>
          <w:lang w:eastAsia="zh-CN"/>
        </w:rPr>
        <w:t>八</w:t>
      </w:r>
      <w:r>
        <w:rPr>
          <w:rFonts w:hint="eastAsia" w:ascii="黑体" w:hAnsi="黑体" w:eastAsia="黑体"/>
          <w:color w:val="auto"/>
          <w:highlight w:val="none"/>
        </w:rPr>
        <w:t>、红色美丽村庄试点建设</w:t>
      </w:r>
    </w:p>
    <w:p w14:paraId="646AC95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color w:val="auto"/>
          <w:highlight w:val="none"/>
        </w:rPr>
        <w:sectPr>
          <w:footerReference r:id="rId9" w:type="default"/>
          <w:pgSz w:w="11906" w:h="16838"/>
          <w:pgMar w:top="1361" w:right="1588" w:bottom="1361" w:left="1588" w:header="851" w:footer="851" w:gutter="0"/>
          <w:pgNumType w:fmt="decimal" w:start="25"/>
          <w:cols w:space="720" w:num="1"/>
          <w:docGrid w:linePitch="612" w:charSpace="-4740"/>
        </w:sectPr>
      </w:pPr>
      <w:r>
        <w:rPr>
          <w:rFonts w:hint="eastAsia"/>
          <w:color w:val="auto"/>
          <w:highlight w:val="none"/>
        </w:rPr>
        <w:t>按照中组部、财政部《关于进一步开展推动红色村组织振兴建设红色美丽村庄试点工作的通知》（组通字〔2023〕20号）要求，2023年确定静海区杨成庄乡宫家屯村为2023年红色美丽村庄试点村，建设总投资1200万元，其中：中央财政300万元，市管党费200万元，区以下财政700万元。建设内容主要包括打造烈士陵园、村史馆、烈士故居、红色文化长廊、主题民宿等。</w:t>
      </w:r>
      <w:r>
        <w:rPr>
          <w:rFonts w:hint="eastAsia" w:ascii="仿宋_GB2312" w:cs="仿宋_GB2312"/>
          <w:color w:val="auto"/>
          <w:highlight w:val="none"/>
        </w:rPr>
        <w:t>该资金已通过</w:t>
      </w:r>
      <w:r>
        <w:rPr>
          <w:rFonts w:hint="eastAsia"/>
          <w:color w:val="auto"/>
          <w:highlight w:val="none"/>
        </w:rPr>
        <w:t>《天津市财政局关于下达2023年中央财政农村综合改革转移支付等预算的通知》（津财农指〔2023〕20号）拨付至</w:t>
      </w:r>
      <w:r>
        <w:rPr>
          <w:rFonts w:hint="eastAsia" w:ascii="仿宋_GB2312" w:cs="仿宋_GB2312"/>
          <w:color w:val="auto"/>
          <w:highlight w:val="none"/>
        </w:rPr>
        <w:t>静海区，要进一步加快项目建设和资金执行进度。</w:t>
      </w:r>
    </w:p>
    <w:tbl>
      <w:tblPr>
        <w:tblStyle w:val="9"/>
        <w:tblW w:w="0" w:type="auto"/>
        <w:tblInd w:w="-4" w:type="dxa"/>
        <w:tblLayout w:type="fixed"/>
        <w:tblCellMar>
          <w:top w:w="0" w:type="dxa"/>
          <w:left w:w="108" w:type="dxa"/>
          <w:bottom w:w="0" w:type="dxa"/>
          <w:right w:w="108" w:type="dxa"/>
        </w:tblCellMar>
      </w:tblPr>
      <w:tblGrid>
        <w:gridCol w:w="1693"/>
        <w:gridCol w:w="12428"/>
      </w:tblGrid>
      <w:tr w14:paraId="3DE29036">
        <w:tblPrEx>
          <w:tblCellMar>
            <w:top w:w="0" w:type="dxa"/>
            <w:left w:w="108" w:type="dxa"/>
            <w:bottom w:w="0" w:type="dxa"/>
            <w:right w:w="108" w:type="dxa"/>
          </w:tblCellMar>
        </w:tblPrEx>
        <w:trPr>
          <w:trHeight w:val="647" w:hRule="atLeast"/>
        </w:trPr>
        <w:tc>
          <w:tcPr>
            <w:tcW w:w="14121" w:type="dxa"/>
            <w:gridSpan w:val="2"/>
            <w:tcBorders>
              <w:top w:val="nil"/>
              <w:left w:val="nil"/>
              <w:bottom w:val="nil"/>
              <w:right w:val="nil"/>
            </w:tcBorders>
            <w:noWrap w:val="0"/>
            <w:vAlign w:val="center"/>
          </w:tcPr>
          <w:p w14:paraId="4CD9291D">
            <w:pPr>
              <w:spacing w:line="400" w:lineRule="exact"/>
              <w:rPr>
                <w:rFonts w:eastAsia="黑体"/>
                <w:lang w:val="en"/>
              </w:rPr>
            </w:pPr>
            <w:r>
              <w:rPr>
                <w:rFonts w:hint="eastAsia" w:eastAsia="黑体"/>
              </w:rPr>
              <w:t>附</w:t>
            </w:r>
            <w:r>
              <w:rPr>
                <w:rFonts w:eastAsia="黑体"/>
              </w:rPr>
              <w:t>件</w:t>
            </w:r>
            <w:r>
              <w:rPr>
                <w:rFonts w:eastAsia="黑体"/>
                <w:lang w:val="en"/>
              </w:rPr>
              <w:t>8</w:t>
            </w:r>
          </w:p>
          <w:p w14:paraId="62FF95C1">
            <w:pPr>
              <w:widowControl/>
              <w:spacing w:line="400" w:lineRule="exact"/>
              <w:jc w:val="center"/>
              <w:rPr>
                <w:rFonts w:hint="eastAsia"/>
                <w:sz w:val="44"/>
                <w:szCs w:val="44"/>
              </w:rPr>
            </w:pPr>
          </w:p>
          <w:p w14:paraId="3E82A7CB">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粮油生产保障资金项目任务清单</w:t>
            </w:r>
          </w:p>
          <w:p w14:paraId="513DC4E0">
            <w:pPr>
              <w:pStyle w:val="5"/>
              <w:ind w:firstLine="640"/>
            </w:pPr>
          </w:p>
        </w:tc>
      </w:tr>
      <w:tr w14:paraId="4722CB94">
        <w:tblPrEx>
          <w:tblCellMar>
            <w:top w:w="0" w:type="dxa"/>
            <w:left w:w="108" w:type="dxa"/>
            <w:bottom w:w="0" w:type="dxa"/>
            <w:right w:w="108" w:type="dxa"/>
          </w:tblCellMar>
        </w:tblPrEx>
        <w:trPr>
          <w:trHeight w:val="603" w:hRule="atLeast"/>
        </w:trPr>
        <w:tc>
          <w:tcPr>
            <w:tcW w:w="1693" w:type="dxa"/>
            <w:tcBorders>
              <w:top w:val="single" w:color="auto" w:sz="4" w:space="0"/>
              <w:left w:val="single" w:color="auto" w:sz="4" w:space="0"/>
              <w:bottom w:val="nil"/>
              <w:right w:val="nil"/>
            </w:tcBorders>
            <w:noWrap w:val="0"/>
            <w:vAlign w:val="center"/>
          </w:tcPr>
          <w:p w14:paraId="56C6AC44">
            <w:pPr>
              <w:widowControl/>
              <w:jc w:val="center"/>
              <w:rPr>
                <w:b/>
                <w:bCs/>
                <w:kern w:val="0"/>
                <w:sz w:val="24"/>
                <w:szCs w:val="24"/>
              </w:rPr>
            </w:pPr>
            <w:r>
              <w:rPr>
                <w:b/>
                <w:bCs/>
                <w:kern w:val="0"/>
                <w:sz w:val="24"/>
                <w:szCs w:val="24"/>
              </w:rPr>
              <w:t>各区</w:t>
            </w:r>
          </w:p>
        </w:tc>
        <w:tc>
          <w:tcPr>
            <w:tcW w:w="12428" w:type="dxa"/>
            <w:tcBorders>
              <w:top w:val="single" w:color="auto" w:sz="4" w:space="0"/>
              <w:left w:val="single" w:color="auto" w:sz="4" w:space="0"/>
              <w:bottom w:val="nil"/>
              <w:right w:val="single" w:color="auto" w:sz="4" w:space="0"/>
            </w:tcBorders>
            <w:noWrap w:val="0"/>
            <w:vAlign w:val="center"/>
          </w:tcPr>
          <w:p w14:paraId="69A64BC3">
            <w:pPr>
              <w:widowControl/>
              <w:jc w:val="center"/>
              <w:rPr>
                <w:rFonts w:hint="eastAsia"/>
                <w:b/>
                <w:bCs/>
                <w:kern w:val="0"/>
                <w:sz w:val="24"/>
                <w:szCs w:val="24"/>
                <w:lang w:val="en"/>
              </w:rPr>
            </w:pPr>
            <w:r>
              <w:rPr>
                <w:rFonts w:hint="eastAsia"/>
                <w:b/>
                <w:bCs/>
                <w:kern w:val="0"/>
                <w:sz w:val="24"/>
                <w:szCs w:val="24"/>
                <w:lang w:val="en"/>
              </w:rPr>
              <w:t>任务清单</w:t>
            </w:r>
          </w:p>
        </w:tc>
      </w:tr>
      <w:tr w14:paraId="70D4219A">
        <w:tblPrEx>
          <w:tblCellMar>
            <w:top w:w="0" w:type="dxa"/>
            <w:left w:w="108" w:type="dxa"/>
            <w:bottom w:w="0" w:type="dxa"/>
            <w:right w:w="108" w:type="dxa"/>
          </w:tblCellMar>
        </w:tblPrEx>
        <w:trPr>
          <w:trHeight w:val="599" w:hRule="atLeast"/>
        </w:trPr>
        <w:tc>
          <w:tcPr>
            <w:tcW w:w="1693" w:type="dxa"/>
            <w:tcBorders>
              <w:top w:val="single" w:color="auto" w:sz="4" w:space="0"/>
              <w:left w:val="single" w:color="auto" w:sz="4" w:space="0"/>
              <w:bottom w:val="single" w:color="auto" w:sz="4" w:space="0"/>
              <w:right w:val="single" w:color="auto" w:sz="4" w:space="0"/>
            </w:tcBorders>
            <w:noWrap w:val="0"/>
            <w:vAlign w:val="center"/>
          </w:tcPr>
          <w:p w14:paraId="368D1AA5">
            <w:pPr>
              <w:widowControl/>
              <w:jc w:val="center"/>
              <w:rPr>
                <w:kern w:val="0"/>
                <w:sz w:val="24"/>
                <w:szCs w:val="24"/>
              </w:rPr>
            </w:pPr>
            <w:r>
              <w:rPr>
                <w:kern w:val="0"/>
                <w:sz w:val="24"/>
                <w:szCs w:val="24"/>
              </w:rPr>
              <w:t>蓟州</w:t>
            </w:r>
            <w:r>
              <w:rPr>
                <w:rFonts w:hint="eastAsia"/>
                <w:kern w:val="0"/>
                <w:sz w:val="24"/>
                <w:szCs w:val="24"/>
              </w:rPr>
              <w:t>区</w:t>
            </w:r>
          </w:p>
        </w:tc>
        <w:tc>
          <w:tcPr>
            <w:tcW w:w="12428" w:type="dxa"/>
            <w:tcBorders>
              <w:top w:val="single" w:color="auto" w:sz="4" w:space="0"/>
              <w:left w:val="nil"/>
              <w:bottom w:val="single" w:color="auto" w:sz="4" w:space="0"/>
              <w:right w:val="single" w:color="auto" w:sz="4" w:space="0"/>
            </w:tcBorders>
            <w:noWrap w:val="0"/>
            <w:vAlign w:val="center"/>
          </w:tcPr>
          <w:p w14:paraId="24355200">
            <w:pPr>
              <w:widowControl/>
              <w:spacing w:line="260" w:lineRule="exact"/>
              <w:jc w:val="left"/>
              <w:rPr>
                <w:rFonts w:hint="eastAsia"/>
                <w:kern w:val="0"/>
                <w:sz w:val="21"/>
                <w:szCs w:val="21"/>
              </w:rPr>
            </w:pPr>
            <w:r>
              <w:rPr>
                <w:rFonts w:hint="eastAsia"/>
                <w:kern w:val="0"/>
                <w:sz w:val="21"/>
                <w:szCs w:val="21"/>
              </w:rPr>
              <w:t>实施小麦“一喷三防”。</w:t>
            </w:r>
          </w:p>
        </w:tc>
      </w:tr>
      <w:tr w14:paraId="2BDC4E5D">
        <w:tblPrEx>
          <w:tblCellMar>
            <w:top w:w="0" w:type="dxa"/>
            <w:left w:w="108" w:type="dxa"/>
            <w:bottom w:w="0" w:type="dxa"/>
            <w:right w:w="108" w:type="dxa"/>
          </w:tblCellMar>
        </w:tblPrEx>
        <w:trPr>
          <w:trHeight w:val="580" w:hRule="atLeast"/>
        </w:trPr>
        <w:tc>
          <w:tcPr>
            <w:tcW w:w="1693" w:type="dxa"/>
            <w:tcBorders>
              <w:top w:val="nil"/>
              <w:left w:val="single" w:color="auto" w:sz="4" w:space="0"/>
              <w:bottom w:val="single" w:color="auto" w:sz="4" w:space="0"/>
              <w:right w:val="single" w:color="auto" w:sz="4" w:space="0"/>
            </w:tcBorders>
            <w:noWrap w:val="0"/>
            <w:vAlign w:val="center"/>
          </w:tcPr>
          <w:p w14:paraId="22A936C2">
            <w:pPr>
              <w:widowControl/>
              <w:jc w:val="center"/>
              <w:rPr>
                <w:kern w:val="0"/>
                <w:sz w:val="24"/>
                <w:szCs w:val="24"/>
              </w:rPr>
            </w:pPr>
            <w:r>
              <w:rPr>
                <w:kern w:val="0"/>
                <w:sz w:val="24"/>
                <w:szCs w:val="24"/>
              </w:rPr>
              <w:t>宝坻</w:t>
            </w:r>
            <w:r>
              <w:rPr>
                <w:rFonts w:hint="eastAsia"/>
                <w:kern w:val="0"/>
                <w:sz w:val="24"/>
                <w:szCs w:val="24"/>
              </w:rPr>
              <w:t>区</w:t>
            </w:r>
          </w:p>
        </w:tc>
        <w:tc>
          <w:tcPr>
            <w:tcW w:w="12428" w:type="dxa"/>
            <w:tcBorders>
              <w:top w:val="nil"/>
              <w:left w:val="nil"/>
              <w:bottom w:val="single" w:color="auto" w:sz="4" w:space="0"/>
              <w:right w:val="single" w:color="auto" w:sz="4" w:space="0"/>
            </w:tcBorders>
            <w:noWrap w:val="0"/>
            <w:vAlign w:val="center"/>
          </w:tcPr>
          <w:p w14:paraId="48960AAC">
            <w:pPr>
              <w:widowControl/>
              <w:spacing w:line="260" w:lineRule="exact"/>
              <w:jc w:val="left"/>
              <w:rPr>
                <w:kern w:val="0"/>
                <w:sz w:val="21"/>
                <w:szCs w:val="21"/>
              </w:rPr>
            </w:pPr>
            <w:r>
              <w:rPr>
                <w:rFonts w:hint="eastAsia"/>
                <w:kern w:val="0"/>
                <w:sz w:val="21"/>
                <w:szCs w:val="21"/>
              </w:rPr>
              <w:t>实施小麦“一喷三防”；实施粮油等重点作物绿色高产高效行动。</w:t>
            </w:r>
          </w:p>
        </w:tc>
      </w:tr>
      <w:tr w14:paraId="66C50DDE">
        <w:tblPrEx>
          <w:tblCellMar>
            <w:top w:w="0" w:type="dxa"/>
            <w:left w:w="108" w:type="dxa"/>
            <w:bottom w:w="0" w:type="dxa"/>
            <w:right w:w="108" w:type="dxa"/>
          </w:tblCellMar>
        </w:tblPrEx>
        <w:trPr>
          <w:trHeight w:val="537" w:hRule="atLeast"/>
        </w:trPr>
        <w:tc>
          <w:tcPr>
            <w:tcW w:w="1693" w:type="dxa"/>
            <w:tcBorders>
              <w:top w:val="nil"/>
              <w:left w:val="single" w:color="auto" w:sz="4" w:space="0"/>
              <w:bottom w:val="single" w:color="auto" w:sz="4" w:space="0"/>
              <w:right w:val="single" w:color="auto" w:sz="4" w:space="0"/>
            </w:tcBorders>
            <w:noWrap w:val="0"/>
            <w:vAlign w:val="center"/>
          </w:tcPr>
          <w:p w14:paraId="4C685EE5">
            <w:pPr>
              <w:widowControl/>
              <w:jc w:val="center"/>
              <w:rPr>
                <w:kern w:val="0"/>
                <w:sz w:val="24"/>
                <w:szCs w:val="24"/>
              </w:rPr>
            </w:pPr>
            <w:r>
              <w:rPr>
                <w:kern w:val="0"/>
                <w:sz w:val="24"/>
                <w:szCs w:val="24"/>
              </w:rPr>
              <w:t>武清</w:t>
            </w:r>
            <w:r>
              <w:rPr>
                <w:rFonts w:hint="eastAsia"/>
                <w:kern w:val="0"/>
                <w:sz w:val="24"/>
                <w:szCs w:val="24"/>
              </w:rPr>
              <w:t>区</w:t>
            </w:r>
          </w:p>
        </w:tc>
        <w:tc>
          <w:tcPr>
            <w:tcW w:w="12428" w:type="dxa"/>
            <w:tcBorders>
              <w:top w:val="nil"/>
              <w:left w:val="nil"/>
              <w:bottom w:val="single" w:color="auto" w:sz="4" w:space="0"/>
              <w:right w:val="single" w:color="auto" w:sz="4" w:space="0"/>
            </w:tcBorders>
            <w:noWrap w:val="0"/>
            <w:vAlign w:val="center"/>
          </w:tcPr>
          <w:p w14:paraId="2AAE2983">
            <w:pPr>
              <w:widowControl/>
              <w:spacing w:line="260" w:lineRule="exact"/>
              <w:jc w:val="left"/>
              <w:rPr>
                <w:kern w:val="0"/>
                <w:sz w:val="21"/>
                <w:szCs w:val="21"/>
              </w:rPr>
            </w:pPr>
            <w:r>
              <w:rPr>
                <w:rFonts w:hint="eastAsia"/>
                <w:kern w:val="0"/>
                <w:sz w:val="21"/>
                <w:szCs w:val="21"/>
              </w:rPr>
              <w:t>实施小麦“一喷三防”；实施粮油等重点作物绿色高产高效行动。</w:t>
            </w:r>
          </w:p>
        </w:tc>
      </w:tr>
      <w:tr w14:paraId="32DACC4B">
        <w:tblPrEx>
          <w:tblCellMar>
            <w:top w:w="0" w:type="dxa"/>
            <w:left w:w="108" w:type="dxa"/>
            <w:bottom w:w="0" w:type="dxa"/>
            <w:right w:w="108" w:type="dxa"/>
          </w:tblCellMar>
        </w:tblPrEx>
        <w:trPr>
          <w:trHeight w:val="585" w:hRule="atLeast"/>
        </w:trPr>
        <w:tc>
          <w:tcPr>
            <w:tcW w:w="1693" w:type="dxa"/>
            <w:tcBorders>
              <w:top w:val="nil"/>
              <w:left w:val="single" w:color="auto" w:sz="4" w:space="0"/>
              <w:bottom w:val="single" w:color="auto" w:sz="4" w:space="0"/>
              <w:right w:val="single" w:color="auto" w:sz="4" w:space="0"/>
            </w:tcBorders>
            <w:noWrap w:val="0"/>
            <w:vAlign w:val="center"/>
          </w:tcPr>
          <w:p w14:paraId="60282852">
            <w:pPr>
              <w:widowControl/>
              <w:jc w:val="center"/>
              <w:rPr>
                <w:kern w:val="0"/>
                <w:sz w:val="24"/>
                <w:szCs w:val="24"/>
              </w:rPr>
            </w:pPr>
            <w:r>
              <w:rPr>
                <w:kern w:val="0"/>
                <w:sz w:val="24"/>
                <w:szCs w:val="24"/>
              </w:rPr>
              <w:t>宁河</w:t>
            </w:r>
            <w:r>
              <w:rPr>
                <w:rFonts w:hint="eastAsia"/>
                <w:kern w:val="0"/>
                <w:sz w:val="24"/>
                <w:szCs w:val="24"/>
              </w:rPr>
              <w:t>区</w:t>
            </w:r>
          </w:p>
        </w:tc>
        <w:tc>
          <w:tcPr>
            <w:tcW w:w="12428" w:type="dxa"/>
            <w:tcBorders>
              <w:top w:val="nil"/>
              <w:left w:val="nil"/>
              <w:bottom w:val="single" w:color="auto" w:sz="4" w:space="0"/>
              <w:right w:val="single" w:color="auto" w:sz="4" w:space="0"/>
            </w:tcBorders>
            <w:noWrap w:val="0"/>
            <w:vAlign w:val="center"/>
          </w:tcPr>
          <w:p w14:paraId="4121405A">
            <w:pPr>
              <w:widowControl/>
              <w:spacing w:line="260" w:lineRule="exact"/>
              <w:jc w:val="left"/>
              <w:rPr>
                <w:kern w:val="0"/>
                <w:sz w:val="21"/>
                <w:szCs w:val="21"/>
              </w:rPr>
            </w:pPr>
            <w:r>
              <w:rPr>
                <w:rFonts w:hint="eastAsia"/>
                <w:kern w:val="0"/>
                <w:sz w:val="21"/>
                <w:szCs w:val="21"/>
              </w:rPr>
              <w:t>实施小麦“一喷三防”。</w:t>
            </w:r>
          </w:p>
        </w:tc>
      </w:tr>
      <w:tr w14:paraId="70173EC0">
        <w:tblPrEx>
          <w:tblCellMar>
            <w:top w:w="0" w:type="dxa"/>
            <w:left w:w="108" w:type="dxa"/>
            <w:bottom w:w="0" w:type="dxa"/>
            <w:right w:w="108" w:type="dxa"/>
          </w:tblCellMar>
        </w:tblPrEx>
        <w:trPr>
          <w:trHeight w:val="581" w:hRule="atLeast"/>
        </w:trPr>
        <w:tc>
          <w:tcPr>
            <w:tcW w:w="1693" w:type="dxa"/>
            <w:tcBorders>
              <w:top w:val="nil"/>
              <w:left w:val="single" w:color="auto" w:sz="4" w:space="0"/>
              <w:bottom w:val="single" w:color="auto" w:sz="4" w:space="0"/>
              <w:right w:val="single" w:color="auto" w:sz="4" w:space="0"/>
            </w:tcBorders>
            <w:noWrap w:val="0"/>
            <w:vAlign w:val="center"/>
          </w:tcPr>
          <w:p w14:paraId="7A10DF27">
            <w:pPr>
              <w:widowControl/>
              <w:jc w:val="center"/>
              <w:rPr>
                <w:rFonts w:hint="eastAsia"/>
                <w:kern w:val="0"/>
                <w:sz w:val="24"/>
                <w:szCs w:val="24"/>
              </w:rPr>
            </w:pPr>
            <w:r>
              <w:rPr>
                <w:kern w:val="0"/>
                <w:sz w:val="24"/>
                <w:szCs w:val="24"/>
              </w:rPr>
              <w:t>静海</w:t>
            </w:r>
            <w:r>
              <w:rPr>
                <w:rFonts w:hint="eastAsia"/>
                <w:kern w:val="0"/>
                <w:sz w:val="24"/>
                <w:szCs w:val="24"/>
              </w:rPr>
              <w:t>区</w:t>
            </w:r>
          </w:p>
        </w:tc>
        <w:tc>
          <w:tcPr>
            <w:tcW w:w="12428" w:type="dxa"/>
            <w:tcBorders>
              <w:top w:val="nil"/>
              <w:left w:val="nil"/>
              <w:bottom w:val="single" w:color="auto" w:sz="4" w:space="0"/>
              <w:right w:val="single" w:color="auto" w:sz="4" w:space="0"/>
            </w:tcBorders>
            <w:noWrap w:val="0"/>
            <w:vAlign w:val="center"/>
          </w:tcPr>
          <w:p w14:paraId="15276544">
            <w:pPr>
              <w:widowControl/>
              <w:spacing w:line="260" w:lineRule="exact"/>
              <w:jc w:val="left"/>
              <w:rPr>
                <w:kern w:val="0"/>
                <w:sz w:val="21"/>
                <w:szCs w:val="21"/>
              </w:rPr>
            </w:pPr>
            <w:r>
              <w:rPr>
                <w:rFonts w:hint="eastAsia"/>
                <w:kern w:val="0"/>
                <w:sz w:val="21"/>
                <w:szCs w:val="21"/>
              </w:rPr>
              <w:t>实施小麦“一喷三防”。</w:t>
            </w:r>
          </w:p>
        </w:tc>
      </w:tr>
      <w:tr w14:paraId="5C5BAB00">
        <w:tblPrEx>
          <w:tblCellMar>
            <w:top w:w="0" w:type="dxa"/>
            <w:left w:w="108" w:type="dxa"/>
            <w:bottom w:w="0" w:type="dxa"/>
            <w:right w:w="108" w:type="dxa"/>
          </w:tblCellMar>
        </w:tblPrEx>
        <w:trPr>
          <w:trHeight w:val="649" w:hRule="atLeast"/>
        </w:trPr>
        <w:tc>
          <w:tcPr>
            <w:tcW w:w="1693" w:type="dxa"/>
            <w:tcBorders>
              <w:top w:val="single" w:color="auto" w:sz="4" w:space="0"/>
              <w:left w:val="single" w:color="auto" w:sz="4" w:space="0"/>
              <w:bottom w:val="nil"/>
              <w:right w:val="nil"/>
            </w:tcBorders>
            <w:noWrap w:val="0"/>
            <w:vAlign w:val="center"/>
          </w:tcPr>
          <w:p w14:paraId="6FB78007">
            <w:pPr>
              <w:widowControl/>
              <w:jc w:val="center"/>
              <w:rPr>
                <w:bCs/>
                <w:kern w:val="0"/>
                <w:sz w:val="24"/>
                <w:szCs w:val="24"/>
              </w:rPr>
            </w:pPr>
            <w:r>
              <w:rPr>
                <w:bCs/>
                <w:kern w:val="0"/>
                <w:sz w:val="24"/>
                <w:szCs w:val="24"/>
              </w:rPr>
              <w:t>东丽</w:t>
            </w:r>
            <w:r>
              <w:rPr>
                <w:rFonts w:hint="eastAsia"/>
                <w:bCs/>
                <w:kern w:val="0"/>
                <w:sz w:val="24"/>
                <w:szCs w:val="24"/>
              </w:rPr>
              <w:t>区</w:t>
            </w:r>
          </w:p>
        </w:tc>
        <w:tc>
          <w:tcPr>
            <w:tcW w:w="12428" w:type="dxa"/>
            <w:tcBorders>
              <w:top w:val="single" w:color="auto" w:sz="4" w:space="0"/>
              <w:left w:val="single" w:color="auto" w:sz="4" w:space="0"/>
              <w:bottom w:val="nil"/>
              <w:right w:val="single" w:color="auto" w:sz="4" w:space="0"/>
            </w:tcBorders>
            <w:noWrap w:val="0"/>
            <w:vAlign w:val="center"/>
          </w:tcPr>
          <w:p w14:paraId="45875F58">
            <w:pPr>
              <w:widowControl/>
              <w:spacing w:line="260" w:lineRule="exact"/>
              <w:jc w:val="left"/>
              <w:rPr>
                <w:bCs/>
                <w:kern w:val="0"/>
                <w:sz w:val="21"/>
                <w:szCs w:val="21"/>
              </w:rPr>
            </w:pPr>
            <w:r>
              <w:rPr>
                <w:rFonts w:hint="eastAsia"/>
                <w:kern w:val="0"/>
                <w:sz w:val="21"/>
                <w:szCs w:val="21"/>
              </w:rPr>
              <w:t>实施小麦“一喷三防”。</w:t>
            </w:r>
          </w:p>
        </w:tc>
      </w:tr>
      <w:tr w14:paraId="29BA738F">
        <w:tblPrEx>
          <w:tblCellMar>
            <w:top w:w="0" w:type="dxa"/>
            <w:left w:w="108" w:type="dxa"/>
            <w:bottom w:w="0" w:type="dxa"/>
            <w:right w:w="108" w:type="dxa"/>
          </w:tblCellMar>
        </w:tblPrEx>
        <w:trPr>
          <w:trHeight w:val="565" w:hRule="atLeast"/>
        </w:trPr>
        <w:tc>
          <w:tcPr>
            <w:tcW w:w="1693" w:type="dxa"/>
            <w:tcBorders>
              <w:top w:val="single" w:color="auto" w:sz="4" w:space="0"/>
              <w:left w:val="single" w:color="auto" w:sz="4" w:space="0"/>
              <w:bottom w:val="single" w:color="auto" w:sz="4" w:space="0"/>
              <w:right w:val="single" w:color="auto" w:sz="4" w:space="0"/>
            </w:tcBorders>
            <w:noWrap w:val="0"/>
            <w:vAlign w:val="center"/>
          </w:tcPr>
          <w:p w14:paraId="2DEEEE61">
            <w:pPr>
              <w:widowControl/>
              <w:jc w:val="center"/>
              <w:rPr>
                <w:kern w:val="0"/>
                <w:sz w:val="24"/>
                <w:szCs w:val="24"/>
              </w:rPr>
            </w:pPr>
            <w:r>
              <w:rPr>
                <w:kern w:val="0"/>
                <w:sz w:val="24"/>
                <w:szCs w:val="24"/>
              </w:rPr>
              <w:t>津南</w:t>
            </w:r>
            <w:r>
              <w:rPr>
                <w:rFonts w:hint="eastAsia"/>
                <w:kern w:val="0"/>
                <w:sz w:val="24"/>
                <w:szCs w:val="24"/>
              </w:rPr>
              <w:t>区</w:t>
            </w:r>
          </w:p>
        </w:tc>
        <w:tc>
          <w:tcPr>
            <w:tcW w:w="12428" w:type="dxa"/>
            <w:tcBorders>
              <w:top w:val="single" w:color="auto" w:sz="4" w:space="0"/>
              <w:left w:val="nil"/>
              <w:bottom w:val="single" w:color="auto" w:sz="4" w:space="0"/>
              <w:right w:val="single" w:color="auto" w:sz="4" w:space="0"/>
            </w:tcBorders>
            <w:noWrap w:val="0"/>
            <w:vAlign w:val="center"/>
          </w:tcPr>
          <w:p w14:paraId="4EB783AA">
            <w:pPr>
              <w:widowControl/>
              <w:spacing w:line="260" w:lineRule="exact"/>
              <w:jc w:val="left"/>
              <w:rPr>
                <w:rFonts w:hint="eastAsia"/>
                <w:kern w:val="0"/>
                <w:sz w:val="21"/>
                <w:szCs w:val="21"/>
              </w:rPr>
            </w:pPr>
            <w:r>
              <w:rPr>
                <w:rFonts w:hint="eastAsia"/>
                <w:kern w:val="0"/>
                <w:sz w:val="21"/>
                <w:szCs w:val="21"/>
              </w:rPr>
              <w:t>实施小麦“一喷三防”。</w:t>
            </w:r>
          </w:p>
        </w:tc>
      </w:tr>
      <w:tr w14:paraId="078286F7">
        <w:tblPrEx>
          <w:tblCellMar>
            <w:top w:w="0" w:type="dxa"/>
            <w:left w:w="108" w:type="dxa"/>
            <w:bottom w:w="0" w:type="dxa"/>
            <w:right w:w="108" w:type="dxa"/>
          </w:tblCellMar>
        </w:tblPrEx>
        <w:trPr>
          <w:trHeight w:val="545" w:hRule="atLeast"/>
        </w:trPr>
        <w:tc>
          <w:tcPr>
            <w:tcW w:w="1693" w:type="dxa"/>
            <w:tcBorders>
              <w:top w:val="single" w:color="auto" w:sz="4" w:space="0"/>
              <w:left w:val="single" w:color="auto" w:sz="4" w:space="0"/>
              <w:bottom w:val="single" w:color="auto" w:sz="4" w:space="0"/>
              <w:right w:val="single" w:color="auto" w:sz="4" w:space="0"/>
            </w:tcBorders>
            <w:noWrap w:val="0"/>
            <w:vAlign w:val="center"/>
          </w:tcPr>
          <w:p w14:paraId="68E27C73">
            <w:pPr>
              <w:widowControl/>
              <w:jc w:val="center"/>
              <w:rPr>
                <w:kern w:val="0"/>
                <w:sz w:val="24"/>
                <w:szCs w:val="24"/>
              </w:rPr>
            </w:pPr>
            <w:r>
              <w:rPr>
                <w:kern w:val="0"/>
                <w:sz w:val="24"/>
                <w:szCs w:val="24"/>
              </w:rPr>
              <w:t>西青</w:t>
            </w:r>
            <w:r>
              <w:rPr>
                <w:rFonts w:hint="eastAsia"/>
                <w:kern w:val="0"/>
                <w:sz w:val="24"/>
                <w:szCs w:val="24"/>
              </w:rPr>
              <w:t>区</w:t>
            </w:r>
          </w:p>
        </w:tc>
        <w:tc>
          <w:tcPr>
            <w:tcW w:w="12428" w:type="dxa"/>
            <w:tcBorders>
              <w:top w:val="single" w:color="auto" w:sz="4" w:space="0"/>
              <w:left w:val="nil"/>
              <w:bottom w:val="single" w:color="auto" w:sz="4" w:space="0"/>
              <w:right w:val="single" w:color="auto" w:sz="4" w:space="0"/>
            </w:tcBorders>
            <w:noWrap w:val="0"/>
            <w:vAlign w:val="center"/>
          </w:tcPr>
          <w:p w14:paraId="6A701961">
            <w:pPr>
              <w:widowControl/>
              <w:spacing w:line="260" w:lineRule="exact"/>
              <w:jc w:val="left"/>
              <w:rPr>
                <w:kern w:val="0"/>
                <w:sz w:val="21"/>
                <w:szCs w:val="21"/>
              </w:rPr>
            </w:pPr>
            <w:r>
              <w:rPr>
                <w:rFonts w:hint="eastAsia"/>
                <w:kern w:val="0"/>
                <w:sz w:val="21"/>
                <w:szCs w:val="21"/>
              </w:rPr>
              <w:t>实施小麦“一喷三防”。</w:t>
            </w:r>
          </w:p>
        </w:tc>
      </w:tr>
      <w:tr w14:paraId="4BCBAC02">
        <w:tblPrEx>
          <w:tblCellMar>
            <w:top w:w="0" w:type="dxa"/>
            <w:left w:w="108" w:type="dxa"/>
            <w:bottom w:w="0" w:type="dxa"/>
            <w:right w:w="108" w:type="dxa"/>
          </w:tblCellMar>
        </w:tblPrEx>
        <w:trPr>
          <w:trHeight w:val="645" w:hRule="atLeast"/>
        </w:trPr>
        <w:tc>
          <w:tcPr>
            <w:tcW w:w="1693" w:type="dxa"/>
            <w:tcBorders>
              <w:top w:val="single" w:color="auto" w:sz="4" w:space="0"/>
              <w:left w:val="single" w:color="auto" w:sz="4" w:space="0"/>
              <w:bottom w:val="single" w:color="auto" w:sz="4" w:space="0"/>
              <w:right w:val="single" w:color="auto" w:sz="4" w:space="0"/>
            </w:tcBorders>
            <w:noWrap w:val="0"/>
            <w:vAlign w:val="center"/>
          </w:tcPr>
          <w:p w14:paraId="1CF6E739">
            <w:pPr>
              <w:widowControl/>
              <w:jc w:val="center"/>
              <w:rPr>
                <w:kern w:val="0"/>
                <w:sz w:val="24"/>
                <w:szCs w:val="24"/>
              </w:rPr>
            </w:pPr>
            <w:r>
              <w:rPr>
                <w:kern w:val="0"/>
                <w:sz w:val="24"/>
                <w:szCs w:val="24"/>
              </w:rPr>
              <w:t>北辰</w:t>
            </w:r>
            <w:r>
              <w:rPr>
                <w:rFonts w:hint="eastAsia"/>
                <w:kern w:val="0"/>
                <w:sz w:val="24"/>
                <w:szCs w:val="24"/>
              </w:rPr>
              <w:t>区</w:t>
            </w:r>
          </w:p>
        </w:tc>
        <w:tc>
          <w:tcPr>
            <w:tcW w:w="12428" w:type="dxa"/>
            <w:tcBorders>
              <w:top w:val="single" w:color="auto" w:sz="4" w:space="0"/>
              <w:left w:val="nil"/>
              <w:bottom w:val="single" w:color="auto" w:sz="4" w:space="0"/>
              <w:right w:val="single" w:color="auto" w:sz="4" w:space="0"/>
            </w:tcBorders>
            <w:noWrap w:val="0"/>
            <w:vAlign w:val="center"/>
          </w:tcPr>
          <w:p w14:paraId="613134E7">
            <w:pPr>
              <w:widowControl/>
              <w:spacing w:line="260" w:lineRule="exact"/>
              <w:jc w:val="left"/>
              <w:rPr>
                <w:kern w:val="0"/>
                <w:sz w:val="21"/>
                <w:szCs w:val="21"/>
              </w:rPr>
            </w:pPr>
            <w:r>
              <w:rPr>
                <w:rFonts w:hint="eastAsia"/>
                <w:kern w:val="0"/>
                <w:sz w:val="21"/>
                <w:szCs w:val="21"/>
              </w:rPr>
              <w:t>实施小麦“一喷三防”。</w:t>
            </w:r>
          </w:p>
        </w:tc>
      </w:tr>
      <w:tr w14:paraId="17E895E9">
        <w:tblPrEx>
          <w:tblCellMar>
            <w:top w:w="0" w:type="dxa"/>
            <w:left w:w="108" w:type="dxa"/>
            <w:bottom w:w="0" w:type="dxa"/>
            <w:right w:w="108" w:type="dxa"/>
          </w:tblCellMar>
        </w:tblPrEx>
        <w:trPr>
          <w:trHeight w:val="585" w:hRule="atLeast"/>
        </w:trPr>
        <w:tc>
          <w:tcPr>
            <w:tcW w:w="1693" w:type="dxa"/>
            <w:tcBorders>
              <w:top w:val="single" w:color="auto" w:sz="4" w:space="0"/>
              <w:left w:val="single" w:color="auto" w:sz="4" w:space="0"/>
              <w:bottom w:val="single" w:color="auto" w:sz="4" w:space="0"/>
              <w:right w:val="single" w:color="auto" w:sz="4" w:space="0"/>
            </w:tcBorders>
            <w:noWrap w:val="0"/>
            <w:vAlign w:val="center"/>
          </w:tcPr>
          <w:p w14:paraId="1050D34C">
            <w:pPr>
              <w:widowControl/>
              <w:jc w:val="center"/>
              <w:rPr>
                <w:kern w:val="0"/>
                <w:sz w:val="24"/>
                <w:szCs w:val="24"/>
              </w:rPr>
            </w:pPr>
            <w:r>
              <w:rPr>
                <w:kern w:val="0"/>
                <w:sz w:val="24"/>
                <w:szCs w:val="24"/>
              </w:rPr>
              <w:t>滨海新区</w:t>
            </w:r>
          </w:p>
        </w:tc>
        <w:tc>
          <w:tcPr>
            <w:tcW w:w="12428" w:type="dxa"/>
            <w:tcBorders>
              <w:top w:val="single" w:color="auto" w:sz="4" w:space="0"/>
              <w:left w:val="nil"/>
              <w:bottom w:val="single" w:color="auto" w:sz="4" w:space="0"/>
              <w:right w:val="single" w:color="auto" w:sz="4" w:space="0"/>
            </w:tcBorders>
            <w:noWrap w:val="0"/>
            <w:vAlign w:val="center"/>
          </w:tcPr>
          <w:p w14:paraId="3518C5E5">
            <w:pPr>
              <w:widowControl/>
              <w:spacing w:line="260" w:lineRule="exact"/>
              <w:jc w:val="left"/>
              <w:rPr>
                <w:rFonts w:hint="eastAsia"/>
                <w:kern w:val="0"/>
                <w:sz w:val="21"/>
                <w:szCs w:val="21"/>
              </w:rPr>
            </w:pPr>
            <w:r>
              <w:rPr>
                <w:rFonts w:hint="eastAsia"/>
                <w:kern w:val="0"/>
                <w:sz w:val="21"/>
                <w:szCs w:val="21"/>
              </w:rPr>
              <w:t>实施小麦“一喷三防”。</w:t>
            </w:r>
          </w:p>
        </w:tc>
      </w:tr>
      <w:tr w14:paraId="362B54AA">
        <w:tblPrEx>
          <w:tblCellMar>
            <w:top w:w="0" w:type="dxa"/>
            <w:left w:w="108" w:type="dxa"/>
            <w:bottom w:w="0" w:type="dxa"/>
            <w:right w:w="108" w:type="dxa"/>
          </w:tblCellMar>
        </w:tblPrEx>
        <w:trPr>
          <w:trHeight w:val="585" w:hRule="atLeast"/>
        </w:trPr>
        <w:tc>
          <w:tcPr>
            <w:tcW w:w="1693" w:type="dxa"/>
            <w:tcBorders>
              <w:top w:val="single" w:color="auto" w:sz="4" w:space="0"/>
              <w:left w:val="single" w:color="auto" w:sz="4" w:space="0"/>
              <w:bottom w:val="single" w:color="auto" w:sz="4" w:space="0"/>
              <w:right w:val="single" w:color="auto" w:sz="4" w:space="0"/>
            </w:tcBorders>
            <w:noWrap w:val="0"/>
            <w:vAlign w:val="center"/>
          </w:tcPr>
          <w:p w14:paraId="0DF92B0E">
            <w:pPr>
              <w:widowControl/>
              <w:jc w:val="center"/>
              <w:rPr>
                <w:rFonts w:hint="eastAsia"/>
                <w:kern w:val="0"/>
                <w:sz w:val="24"/>
                <w:szCs w:val="24"/>
              </w:rPr>
            </w:pPr>
            <w:r>
              <w:rPr>
                <w:rFonts w:hint="eastAsia"/>
                <w:kern w:val="0"/>
                <w:sz w:val="24"/>
                <w:szCs w:val="24"/>
              </w:rPr>
              <w:t>市级有</w:t>
            </w:r>
            <w:r>
              <w:rPr>
                <w:kern w:val="0"/>
                <w:sz w:val="24"/>
                <w:szCs w:val="24"/>
              </w:rPr>
              <w:t>关单位</w:t>
            </w:r>
          </w:p>
        </w:tc>
        <w:tc>
          <w:tcPr>
            <w:tcW w:w="12428" w:type="dxa"/>
            <w:tcBorders>
              <w:top w:val="single" w:color="auto" w:sz="4" w:space="0"/>
              <w:left w:val="nil"/>
              <w:bottom w:val="single" w:color="auto" w:sz="4" w:space="0"/>
              <w:right w:val="single" w:color="auto" w:sz="4" w:space="0"/>
            </w:tcBorders>
            <w:noWrap w:val="0"/>
            <w:vAlign w:val="center"/>
          </w:tcPr>
          <w:p w14:paraId="4EEA088D">
            <w:pPr>
              <w:widowControl/>
              <w:spacing w:line="260" w:lineRule="exact"/>
              <w:jc w:val="left"/>
              <w:rPr>
                <w:rFonts w:hint="eastAsia"/>
                <w:kern w:val="0"/>
                <w:sz w:val="21"/>
                <w:szCs w:val="21"/>
              </w:rPr>
            </w:pPr>
            <w:r>
              <w:rPr>
                <w:rFonts w:hint="eastAsia"/>
                <w:kern w:val="0"/>
                <w:sz w:val="21"/>
                <w:szCs w:val="21"/>
              </w:rPr>
              <w:t>实施粮油等重点作物绿色高产高效行动。</w:t>
            </w:r>
          </w:p>
        </w:tc>
      </w:tr>
      <w:tr w14:paraId="781D57B2">
        <w:tblPrEx>
          <w:tblCellMar>
            <w:top w:w="0" w:type="dxa"/>
            <w:left w:w="108" w:type="dxa"/>
            <w:bottom w:w="0" w:type="dxa"/>
            <w:right w:w="108" w:type="dxa"/>
          </w:tblCellMar>
        </w:tblPrEx>
        <w:trPr>
          <w:trHeight w:val="585" w:hRule="atLeast"/>
        </w:trPr>
        <w:tc>
          <w:tcPr>
            <w:tcW w:w="14121" w:type="dxa"/>
            <w:gridSpan w:val="2"/>
            <w:tcBorders>
              <w:top w:val="nil"/>
              <w:left w:val="nil"/>
              <w:bottom w:val="nil"/>
              <w:right w:val="nil"/>
            </w:tcBorders>
            <w:noWrap w:val="0"/>
            <w:vAlign w:val="center"/>
          </w:tcPr>
          <w:p w14:paraId="1B6A6153">
            <w:pPr>
              <w:spacing w:line="40" w:lineRule="exact"/>
            </w:pPr>
          </w:p>
          <w:p w14:paraId="4E5B6512">
            <w:pPr>
              <w:pStyle w:val="5"/>
              <w:ind w:firstLine="640"/>
            </w:pPr>
          </w:p>
          <w:p w14:paraId="2F0D3B8E">
            <w:pPr>
              <w:spacing w:line="40" w:lineRule="exact"/>
            </w:pPr>
          </w:p>
          <w:p w14:paraId="0101ACA4">
            <w:pPr>
              <w:spacing w:line="400" w:lineRule="exact"/>
              <w:rPr>
                <w:rFonts w:ascii="黑体" w:hAnsi="黑体" w:eastAsia="黑体" w:cs="黑体"/>
                <w:lang w:val="en"/>
              </w:rPr>
            </w:pPr>
            <w:r>
              <w:rPr>
                <w:rFonts w:hint="eastAsia" w:ascii="黑体" w:hAnsi="黑体" w:eastAsia="黑体" w:cs="黑体"/>
              </w:rPr>
              <w:t>附件</w:t>
            </w:r>
            <w:r>
              <w:rPr>
                <w:rFonts w:ascii="黑体" w:hAnsi="黑体" w:eastAsia="黑体" w:cs="黑体"/>
                <w:lang w:val="en"/>
              </w:rPr>
              <w:t>9</w:t>
            </w:r>
          </w:p>
          <w:p w14:paraId="0D9C22E4">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耕地建设与利用资金项目任务清单</w:t>
            </w:r>
          </w:p>
          <w:p w14:paraId="3527584F">
            <w:pPr>
              <w:pStyle w:val="5"/>
              <w:ind w:firstLine="640"/>
              <w:rPr>
                <w:rFonts w:hint="eastAsia"/>
              </w:rPr>
            </w:pPr>
          </w:p>
        </w:tc>
      </w:tr>
      <w:tr w14:paraId="3A12E136">
        <w:tblPrEx>
          <w:tblCellMar>
            <w:top w:w="0" w:type="dxa"/>
            <w:left w:w="108" w:type="dxa"/>
            <w:bottom w:w="0" w:type="dxa"/>
            <w:right w:w="108" w:type="dxa"/>
          </w:tblCellMar>
        </w:tblPrEx>
        <w:trPr>
          <w:trHeight w:val="501" w:hRule="atLeast"/>
        </w:trPr>
        <w:tc>
          <w:tcPr>
            <w:tcW w:w="1693" w:type="dxa"/>
            <w:tcBorders>
              <w:top w:val="single" w:color="auto" w:sz="4" w:space="0"/>
              <w:left w:val="single" w:color="auto" w:sz="4" w:space="0"/>
              <w:bottom w:val="nil"/>
              <w:right w:val="nil"/>
            </w:tcBorders>
            <w:noWrap w:val="0"/>
            <w:vAlign w:val="center"/>
          </w:tcPr>
          <w:p w14:paraId="1258F088">
            <w:pPr>
              <w:widowControl/>
              <w:jc w:val="center"/>
              <w:rPr>
                <w:b/>
                <w:bCs/>
                <w:kern w:val="0"/>
                <w:sz w:val="24"/>
                <w:szCs w:val="24"/>
              </w:rPr>
            </w:pPr>
            <w:r>
              <w:rPr>
                <w:b/>
                <w:bCs/>
                <w:kern w:val="0"/>
                <w:sz w:val="24"/>
                <w:szCs w:val="24"/>
              </w:rPr>
              <w:t>各区</w:t>
            </w:r>
          </w:p>
        </w:tc>
        <w:tc>
          <w:tcPr>
            <w:tcW w:w="12428" w:type="dxa"/>
            <w:tcBorders>
              <w:top w:val="single" w:color="auto" w:sz="4" w:space="0"/>
              <w:left w:val="single" w:color="auto" w:sz="4" w:space="0"/>
              <w:bottom w:val="nil"/>
              <w:right w:val="single" w:color="auto" w:sz="4" w:space="0"/>
            </w:tcBorders>
            <w:noWrap w:val="0"/>
            <w:vAlign w:val="center"/>
          </w:tcPr>
          <w:p w14:paraId="58BF0028">
            <w:pPr>
              <w:widowControl/>
              <w:jc w:val="center"/>
              <w:rPr>
                <w:b/>
                <w:bCs/>
                <w:kern w:val="0"/>
                <w:sz w:val="24"/>
                <w:szCs w:val="24"/>
              </w:rPr>
            </w:pPr>
            <w:r>
              <w:rPr>
                <w:rFonts w:hint="eastAsia"/>
                <w:b/>
                <w:bCs/>
                <w:kern w:val="0"/>
                <w:sz w:val="24"/>
                <w:szCs w:val="24"/>
                <w:lang w:val="en"/>
              </w:rPr>
              <w:t>任务清单</w:t>
            </w:r>
          </w:p>
        </w:tc>
      </w:tr>
      <w:tr w14:paraId="6C937B0E">
        <w:tblPrEx>
          <w:tblCellMar>
            <w:top w:w="0" w:type="dxa"/>
            <w:left w:w="108" w:type="dxa"/>
            <w:bottom w:w="0" w:type="dxa"/>
            <w:right w:w="108" w:type="dxa"/>
          </w:tblCellMar>
        </w:tblPrEx>
        <w:trPr>
          <w:trHeight w:val="618" w:hRule="atLeast"/>
        </w:trPr>
        <w:tc>
          <w:tcPr>
            <w:tcW w:w="1693" w:type="dxa"/>
            <w:tcBorders>
              <w:top w:val="single" w:color="auto" w:sz="4" w:space="0"/>
              <w:left w:val="single" w:color="auto" w:sz="4" w:space="0"/>
              <w:bottom w:val="single" w:color="auto" w:sz="4" w:space="0"/>
              <w:right w:val="single" w:color="auto" w:sz="4" w:space="0"/>
            </w:tcBorders>
            <w:noWrap w:val="0"/>
            <w:vAlign w:val="center"/>
          </w:tcPr>
          <w:p w14:paraId="3D5C98B5">
            <w:pPr>
              <w:widowControl/>
              <w:jc w:val="center"/>
              <w:rPr>
                <w:kern w:val="0"/>
                <w:sz w:val="24"/>
                <w:szCs w:val="24"/>
              </w:rPr>
            </w:pPr>
            <w:r>
              <w:rPr>
                <w:kern w:val="0"/>
                <w:sz w:val="24"/>
                <w:szCs w:val="24"/>
              </w:rPr>
              <w:t>蓟州</w:t>
            </w:r>
            <w:r>
              <w:rPr>
                <w:rFonts w:hint="eastAsia"/>
                <w:kern w:val="0"/>
                <w:sz w:val="24"/>
                <w:szCs w:val="24"/>
              </w:rPr>
              <w:t>区</w:t>
            </w:r>
          </w:p>
        </w:tc>
        <w:tc>
          <w:tcPr>
            <w:tcW w:w="12428" w:type="dxa"/>
            <w:tcBorders>
              <w:top w:val="single" w:color="auto" w:sz="4" w:space="0"/>
              <w:left w:val="nil"/>
              <w:bottom w:val="single" w:color="auto" w:sz="4" w:space="0"/>
              <w:right w:val="single" w:color="auto" w:sz="4" w:space="0"/>
            </w:tcBorders>
            <w:noWrap w:val="0"/>
            <w:vAlign w:val="center"/>
          </w:tcPr>
          <w:p w14:paraId="526C3CEA">
            <w:pPr>
              <w:widowControl/>
              <w:jc w:val="left"/>
              <w:rPr>
                <w:rFonts w:hint="eastAsia"/>
                <w:kern w:val="0"/>
                <w:sz w:val="24"/>
                <w:szCs w:val="24"/>
              </w:rPr>
            </w:pPr>
            <w:r>
              <w:rPr>
                <w:rFonts w:hint="eastAsia"/>
                <w:kern w:val="0"/>
                <w:sz w:val="24"/>
                <w:szCs w:val="24"/>
              </w:rPr>
              <w:t>实施耕地地力保护补贴、实际种粮农民一次性补贴；开展高标准农田建设；推进耕地质量提升：包括开展化肥减量增效示范；耕地深松</w:t>
            </w:r>
            <w:r>
              <w:rPr>
                <w:kern w:val="0"/>
                <w:sz w:val="24"/>
                <w:szCs w:val="24"/>
              </w:rPr>
              <w:t>项目</w:t>
            </w:r>
            <w:r>
              <w:rPr>
                <w:rFonts w:hint="eastAsia"/>
                <w:kern w:val="0"/>
                <w:sz w:val="24"/>
                <w:szCs w:val="24"/>
              </w:rPr>
              <w:t>。</w:t>
            </w:r>
          </w:p>
        </w:tc>
      </w:tr>
      <w:tr w14:paraId="67D962F4">
        <w:tblPrEx>
          <w:tblCellMar>
            <w:top w:w="0" w:type="dxa"/>
            <w:left w:w="108" w:type="dxa"/>
            <w:bottom w:w="0" w:type="dxa"/>
            <w:right w:w="108" w:type="dxa"/>
          </w:tblCellMar>
        </w:tblPrEx>
        <w:trPr>
          <w:trHeight w:val="630" w:hRule="atLeast"/>
        </w:trPr>
        <w:tc>
          <w:tcPr>
            <w:tcW w:w="1693" w:type="dxa"/>
            <w:tcBorders>
              <w:top w:val="nil"/>
              <w:left w:val="single" w:color="auto" w:sz="4" w:space="0"/>
              <w:bottom w:val="single" w:color="auto" w:sz="4" w:space="0"/>
              <w:right w:val="single" w:color="auto" w:sz="4" w:space="0"/>
            </w:tcBorders>
            <w:noWrap w:val="0"/>
            <w:vAlign w:val="center"/>
          </w:tcPr>
          <w:p w14:paraId="6C9C6BE8">
            <w:pPr>
              <w:widowControl/>
              <w:jc w:val="center"/>
              <w:rPr>
                <w:kern w:val="0"/>
                <w:sz w:val="24"/>
                <w:szCs w:val="24"/>
              </w:rPr>
            </w:pPr>
            <w:r>
              <w:rPr>
                <w:kern w:val="0"/>
                <w:sz w:val="24"/>
                <w:szCs w:val="24"/>
              </w:rPr>
              <w:t>宝坻</w:t>
            </w:r>
            <w:r>
              <w:rPr>
                <w:rFonts w:hint="eastAsia"/>
                <w:kern w:val="0"/>
                <w:sz w:val="24"/>
                <w:szCs w:val="24"/>
              </w:rPr>
              <w:t>区</w:t>
            </w:r>
          </w:p>
        </w:tc>
        <w:tc>
          <w:tcPr>
            <w:tcW w:w="12428" w:type="dxa"/>
            <w:tcBorders>
              <w:top w:val="nil"/>
              <w:left w:val="nil"/>
              <w:bottom w:val="single" w:color="auto" w:sz="4" w:space="0"/>
              <w:right w:val="single" w:color="auto" w:sz="4" w:space="0"/>
            </w:tcBorders>
            <w:noWrap w:val="0"/>
            <w:vAlign w:val="center"/>
          </w:tcPr>
          <w:p w14:paraId="3C8AFF07">
            <w:pPr>
              <w:widowControl/>
              <w:jc w:val="left"/>
              <w:rPr>
                <w:rFonts w:hint="eastAsia"/>
                <w:kern w:val="0"/>
                <w:sz w:val="24"/>
                <w:szCs w:val="24"/>
              </w:rPr>
            </w:pPr>
            <w:r>
              <w:rPr>
                <w:rFonts w:hint="eastAsia"/>
                <w:kern w:val="0"/>
                <w:sz w:val="24"/>
                <w:szCs w:val="24"/>
              </w:rPr>
              <w:t>实施耕地地力保护补贴、实际种粮农民一次性补贴；开展高标准农田建设；推进耕地质量提升：包括开展化肥减量增效示范；耕地深松</w:t>
            </w:r>
            <w:r>
              <w:rPr>
                <w:kern w:val="0"/>
                <w:sz w:val="24"/>
                <w:szCs w:val="24"/>
              </w:rPr>
              <w:t>项目</w:t>
            </w:r>
            <w:r>
              <w:rPr>
                <w:rFonts w:hint="eastAsia"/>
                <w:kern w:val="0"/>
                <w:sz w:val="24"/>
                <w:szCs w:val="24"/>
              </w:rPr>
              <w:t>。</w:t>
            </w:r>
          </w:p>
        </w:tc>
      </w:tr>
      <w:tr w14:paraId="78F120A4">
        <w:tblPrEx>
          <w:tblCellMar>
            <w:top w:w="0" w:type="dxa"/>
            <w:left w:w="108" w:type="dxa"/>
            <w:bottom w:w="0" w:type="dxa"/>
            <w:right w:w="108" w:type="dxa"/>
          </w:tblCellMar>
        </w:tblPrEx>
        <w:trPr>
          <w:trHeight w:val="564" w:hRule="atLeast"/>
        </w:trPr>
        <w:tc>
          <w:tcPr>
            <w:tcW w:w="1693" w:type="dxa"/>
            <w:tcBorders>
              <w:top w:val="nil"/>
              <w:left w:val="single" w:color="auto" w:sz="4" w:space="0"/>
              <w:bottom w:val="single" w:color="auto" w:sz="4" w:space="0"/>
              <w:right w:val="single" w:color="auto" w:sz="4" w:space="0"/>
            </w:tcBorders>
            <w:noWrap w:val="0"/>
            <w:vAlign w:val="center"/>
          </w:tcPr>
          <w:p w14:paraId="7142902D">
            <w:pPr>
              <w:widowControl/>
              <w:jc w:val="center"/>
              <w:rPr>
                <w:kern w:val="0"/>
                <w:sz w:val="24"/>
                <w:szCs w:val="24"/>
              </w:rPr>
            </w:pPr>
            <w:r>
              <w:rPr>
                <w:kern w:val="0"/>
                <w:sz w:val="24"/>
                <w:szCs w:val="24"/>
              </w:rPr>
              <w:t>武清</w:t>
            </w:r>
            <w:r>
              <w:rPr>
                <w:rFonts w:hint="eastAsia"/>
                <w:kern w:val="0"/>
                <w:sz w:val="24"/>
                <w:szCs w:val="24"/>
              </w:rPr>
              <w:t>区</w:t>
            </w:r>
          </w:p>
        </w:tc>
        <w:tc>
          <w:tcPr>
            <w:tcW w:w="12428" w:type="dxa"/>
            <w:tcBorders>
              <w:top w:val="nil"/>
              <w:left w:val="nil"/>
              <w:bottom w:val="single" w:color="auto" w:sz="4" w:space="0"/>
              <w:right w:val="single" w:color="auto" w:sz="4" w:space="0"/>
            </w:tcBorders>
            <w:noWrap w:val="0"/>
            <w:vAlign w:val="center"/>
          </w:tcPr>
          <w:p w14:paraId="4065B887">
            <w:pPr>
              <w:widowControl/>
              <w:jc w:val="left"/>
              <w:rPr>
                <w:rFonts w:hint="eastAsia"/>
                <w:kern w:val="0"/>
                <w:sz w:val="24"/>
                <w:szCs w:val="24"/>
              </w:rPr>
            </w:pPr>
            <w:r>
              <w:rPr>
                <w:kern w:val="0"/>
                <w:sz w:val="24"/>
                <w:szCs w:val="24"/>
                <w:lang w:val="en"/>
              </w:rPr>
              <w:t>实施耕地地力保护补贴、实际种粮农民一次性补贴</w:t>
            </w:r>
            <w:r>
              <w:rPr>
                <w:rFonts w:hint="eastAsia"/>
                <w:kern w:val="0"/>
                <w:sz w:val="24"/>
                <w:szCs w:val="24"/>
              </w:rPr>
              <w:t>；开展高标准农田建设；推进耕地质量提升：包括开展化肥减量增效示范；耕地深松</w:t>
            </w:r>
            <w:r>
              <w:rPr>
                <w:kern w:val="0"/>
                <w:sz w:val="24"/>
                <w:szCs w:val="24"/>
              </w:rPr>
              <w:t>项目</w:t>
            </w:r>
            <w:r>
              <w:rPr>
                <w:rFonts w:hint="eastAsia"/>
                <w:kern w:val="0"/>
                <w:sz w:val="24"/>
                <w:szCs w:val="24"/>
              </w:rPr>
              <w:t>。</w:t>
            </w:r>
          </w:p>
        </w:tc>
      </w:tr>
      <w:tr w14:paraId="7EA98D28">
        <w:tblPrEx>
          <w:tblCellMar>
            <w:top w:w="0" w:type="dxa"/>
            <w:left w:w="108" w:type="dxa"/>
            <w:bottom w:w="0" w:type="dxa"/>
            <w:right w:w="108" w:type="dxa"/>
          </w:tblCellMar>
        </w:tblPrEx>
        <w:trPr>
          <w:trHeight w:val="644" w:hRule="atLeast"/>
        </w:trPr>
        <w:tc>
          <w:tcPr>
            <w:tcW w:w="1693" w:type="dxa"/>
            <w:tcBorders>
              <w:top w:val="nil"/>
              <w:left w:val="single" w:color="auto" w:sz="4" w:space="0"/>
              <w:bottom w:val="single" w:color="auto" w:sz="4" w:space="0"/>
              <w:right w:val="single" w:color="auto" w:sz="4" w:space="0"/>
            </w:tcBorders>
            <w:noWrap w:val="0"/>
            <w:vAlign w:val="center"/>
          </w:tcPr>
          <w:p w14:paraId="60E9FED5">
            <w:pPr>
              <w:widowControl/>
              <w:jc w:val="center"/>
              <w:rPr>
                <w:kern w:val="0"/>
                <w:sz w:val="24"/>
                <w:szCs w:val="24"/>
              </w:rPr>
            </w:pPr>
            <w:r>
              <w:rPr>
                <w:kern w:val="0"/>
                <w:sz w:val="24"/>
                <w:szCs w:val="24"/>
              </w:rPr>
              <w:t>宁河</w:t>
            </w:r>
            <w:r>
              <w:rPr>
                <w:rFonts w:hint="eastAsia"/>
                <w:kern w:val="0"/>
                <w:sz w:val="24"/>
                <w:szCs w:val="24"/>
              </w:rPr>
              <w:t>区</w:t>
            </w:r>
          </w:p>
        </w:tc>
        <w:tc>
          <w:tcPr>
            <w:tcW w:w="12428" w:type="dxa"/>
            <w:tcBorders>
              <w:top w:val="nil"/>
              <w:left w:val="nil"/>
              <w:bottom w:val="single" w:color="auto" w:sz="4" w:space="0"/>
              <w:right w:val="single" w:color="auto" w:sz="4" w:space="0"/>
            </w:tcBorders>
            <w:noWrap w:val="0"/>
            <w:vAlign w:val="center"/>
          </w:tcPr>
          <w:p w14:paraId="146DBF5D">
            <w:pPr>
              <w:widowControl/>
              <w:jc w:val="left"/>
              <w:rPr>
                <w:rFonts w:hint="eastAsia"/>
                <w:kern w:val="0"/>
                <w:sz w:val="24"/>
                <w:szCs w:val="24"/>
              </w:rPr>
            </w:pPr>
            <w:r>
              <w:rPr>
                <w:kern w:val="0"/>
                <w:sz w:val="24"/>
                <w:szCs w:val="24"/>
                <w:lang w:val="en"/>
              </w:rPr>
              <w:t>实施耕地地力保护补贴、实际种粮农民一次性补贴</w:t>
            </w:r>
            <w:r>
              <w:rPr>
                <w:rFonts w:hint="eastAsia"/>
                <w:kern w:val="0"/>
                <w:sz w:val="24"/>
                <w:szCs w:val="24"/>
              </w:rPr>
              <w:t>；开展高标准农田建设；推进耕地质量提升：包括开展化肥减量增效示范；耕地深松</w:t>
            </w:r>
            <w:r>
              <w:rPr>
                <w:kern w:val="0"/>
                <w:sz w:val="24"/>
                <w:szCs w:val="24"/>
              </w:rPr>
              <w:t>项目</w:t>
            </w:r>
            <w:r>
              <w:rPr>
                <w:rFonts w:hint="eastAsia"/>
                <w:kern w:val="0"/>
                <w:sz w:val="24"/>
                <w:szCs w:val="24"/>
              </w:rPr>
              <w:t>。</w:t>
            </w:r>
          </w:p>
        </w:tc>
      </w:tr>
      <w:tr w14:paraId="1520BB50">
        <w:tblPrEx>
          <w:tblCellMar>
            <w:top w:w="0" w:type="dxa"/>
            <w:left w:w="108" w:type="dxa"/>
            <w:bottom w:w="0" w:type="dxa"/>
            <w:right w:w="108" w:type="dxa"/>
          </w:tblCellMar>
        </w:tblPrEx>
        <w:trPr>
          <w:trHeight w:val="627" w:hRule="atLeast"/>
        </w:trPr>
        <w:tc>
          <w:tcPr>
            <w:tcW w:w="1693" w:type="dxa"/>
            <w:tcBorders>
              <w:top w:val="nil"/>
              <w:left w:val="single" w:color="auto" w:sz="4" w:space="0"/>
              <w:bottom w:val="single" w:color="auto" w:sz="4" w:space="0"/>
              <w:right w:val="single" w:color="auto" w:sz="4" w:space="0"/>
            </w:tcBorders>
            <w:noWrap w:val="0"/>
            <w:vAlign w:val="center"/>
          </w:tcPr>
          <w:p w14:paraId="237C31B2">
            <w:pPr>
              <w:widowControl/>
              <w:jc w:val="center"/>
              <w:rPr>
                <w:kern w:val="0"/>
                <w:sz w:val="24"/>
                <w:szCs w:val="24"/>
              </w:rPr>
            </w:pPr>
            <w:r>
              <w:rPr>
                <w:kern w:val="0"/>
                <w:sz w:val="24"/>
                <w:szCs w:val="24"/>
              </w:rPr>
              <w:t>静海</w:t>
            </w:r>
            <w:r>
              <w:rPr>
                <w:rFonts w:hint="eastAsia"/>
                <w:kern w:val="0"/>
                <w:sz w:val="24"/>
                <w:szCs w:val="24"/>
              </w:rPr>
              <w:t>区</w:t>
            </w:r>
          </w:p>
        </w:tc>
        <w:tc>
          <w:tcPr>
            <w:tcW w:w="12428" w:type="dxa"/>
            <w:tcBorders>
              <w:top w:val="nil"/>
              <w:left w:val="nil"/>
              <w:bottom w:val="single" w:color="auto" w:sz="4" w:space="0"/>
              <w:right w:val="single" w:color="auto" w:sz="4" w:space="0"/>
            </w:tcBorders>
            <w:noWrap w:val="0"/>
            <w:vAlign w:val="center"/>
          </w:tcPr>
          <w:p w14:paraId="67613141">
            <w:pPr>
              <w:widowControl/>
              <w:jc w:val="left"/>
              <w:rPr>
                <w:rFonts w:hint="eastAsia"/>
                <w:kern w:val="0"/>
                <w:sz w:val="24"/>
                <w:szCs w:val="24"/>
              </w:rPr>
            </w:pPr>
            <w:r>
              <w:rPr>
                <w:kern w:val="0"/>
                <w:sz w:val="24"/>
                <w:szCs w:val="24"/>
                <w:lang w:val="en"/>
              </w:rPr>
              <w:t>实施耕地地力保护补贴、实际种粮农民一次性补贴</w:t>
            </w:r>
            <w:r>
              <w:rPr>
                <w:rFonts w:hint="eastAsia"/>
                <w:kern w:val="0"/>
                <w:sz w:val="24"/>
                <w:szCs w:val="24"/>
              </w:rPr>
              <w:t>；开展高标准农田建设；推进耕地质量提升：包括开展化肥减量增效示范。</w:t>
            </w:r>
          </w:p>
        </w:tc>
      </w:tr>
      <w:tr w14:paraId="1C25A936">
        <w:tblPrEx>
          <w:tblCellMar>
            <w:top w:w="0" w:type="dxa"/>
            <w:left w:w="108" w:type="dxa"/>
            <w:bottom w:w="0" w:type="dxa"/>
            <w:right w:w="108" w:type="dxa"/>
          </w:tblCellMar>
        </w:tblPrEx>
        <w:trPr>
          <w:trHeight w:val="615" w:hRule="atLeast"/>
        </w:trPr>
        <w:tc>
          <w:tcPr>
            <w:tcW w:w="1693" w:type="dxa"/>
            <w:tcBorders>
              <w:top w:val="single" w:color="auto" w:sz="4" w:space="0"/>
              <w:left w:val="single" w:color="auto" w:sz="4" w:space="0"/>
              <w:bottom w:val="nil"/>
              <w:right w:val="nil"/>
            </w:tcBorders>
            <w:noWrap w:val="0"/>
            <w:vAlign w:val="center"/>
          </w:tcPr>
          <w:p w14:paraId="4974C207">
            <w:pPr>
              <w:widowControl/>
              <w:jc w:val="center"/>
              <w:rPr>
                <w:bCs/>
                <w:kern w:val="0"/>
                <w:sz w:val="24"/>
                <w:szCs w:val="24"/>
              </w:rPr>
            </w:pPr>
            <w:r>
              <w:rPr>
                <w:bCs/>
                <w:kern w:val="0"/>
                <w:sz w:val="24"/>
                <w:szCs w:val="24"/>
              </w:rPr>
              <w:t>东丽</w:t>
            </w:r>
            <w:r>
              <w:rPr>
                <w:rFonts w:hint="eastAsia"/>
                <w:bCs/>
                <w:kern w:val="0"/>
                <w:sz w:val="24"/>
                <w:szCs w:val="24"/>
              </w:rPr>
              <w:t>区</w:t>
            </w:r>
          </w:p>
        </w:tc>
        <w:tc>
          <w:tcPr>
            <w:tcW w:w="12428" w:type="dxa"/>
            <w:tcBorders>
              <w:top w:val="single" w:color="auto" w:sz="4" w:space="0"/>
              <w:left w:val="single" w:color="auto" w:sz="4" w:space="0"/>
              <w:bottom w:val="nil"/>
              <w:right w:val="single" w:color="auto" w:sz="4" w:space="0"/>
            </w:tcBorders>
            <w:noWrap w:val="0"/>
            <w:vAlign w:val="center"/>
          </w:tcPr>
          <w:p w14:paraId="449502F2">
            <w:pPr>
              <w:widowControl/>
              <w:jc w:val="left"/>
              <w:rPr>
                <w:rFonts w:hint="eastAsia"/>
                <w:kern w:val="0"/>
                <w:sz w:val="24"/>
                <w:szCs w:val="24"/>
              </w:rPr>
            </w:pPr>
            <w:r>
              <w:rPr>
                <w:kern w:val="0"/>
                <w:sz w:val="24"/>
                <w:szCs w:val="24"/>
                <w:lang w:val="en"/>
              </w:rPr>
              <w:t>实施耕地地力保护补贴、实际种粮农民一次性补贴</w:t>
            </w:r>
            <w:r>
              <w:rPr>
                <w:rFonts w:hint="eastAsia"/>
                <w:kern w:val="0"/>
                <w:sz w:val="24"/>
                <w:szCs w:val="24"/>
              </w:rPr>
              <w:t>；开展高标准农田建设；推进耕地质量提升：包括开展化肥减量增效示范。</w:t>
            </w:r>
          </w:p>
        </w:tc>
      </w:tr>
      <w:tr w14:paraId="5A420F81">
        <w:tblPrEx>
          <w:tblCellMar>
            <w:top w:w="0" w:type="dxa"/>
            <w:left w:w="108" w:type="dxa"/>
            <w:bottom w:w="0" w:type="dxa"/>
            <w:right w:w="108" w:type="dxa"/>
          </w:tblCellMar>
        </w:tblPrEx>
        <w:trPr>
          <w:trHeight w:val="667" w:hRule="atLeast"/>
        </w:trPr>
        <w:tc>
          <w:tcPr>
            <w:tcW w:w="1693" w:type="dxa"/>
            <w:tcBorders>
              <w:top w:val="single" w:color="auto" w:sz="4" w:space="0"/>
              <w:left w:val="single" w:color="auto" w:sz="4" w:space="0"/>
              <w:bottom w:val="single" w:color="auto" w:sz="4" w:space="0"/>
              <w:right w:val="single" w:color="auto" w:sz="4" w:space="0"/>
            </w:tcBorders>
            <w:noWrap w:val="0"/>
            <w:vAlign w:val="center"/>
          </w:tcPr>
          <w:p w14:paraId="68C0EE55">
            <w:pPr>
              <w:widowControl/>
              <w:jc w:val="center"/>
              <w:rPr>
                <w:kern w:val="0"/>
                <w:sz w:val="24"/>
                <w:szCs w:val="24"/>
              </w:rPr>
            </w:pPr>
            <w:r>
              <w:rPr>
                <w:kern w:val="0"/>
                <w:sz w:val="24"/>
                <w:szCs w:val="24"/>
              </w:rPr>
              <w:t>津南</w:t>
            </w:r>
            <w:r>
              <w:rPr>
                <w:rFonts w:hint="eastAsia"/>
                <w:kern w:val="0"/>
                <w:sz w:val="24"/>
                <w:szCs w:val="24"/>
              </w:rPr>
              <w:t>区</w:t>
            </w:r>
          </w:p>
        </w:tc>
        <w:tc>
          <w:tcPr>
            <w:tcW w:w="12428" w:type="dxa"/>
            <w:tcBorders>
              <w:top w:val="single" w:color="auto" w:sz="4" w:space="0"/>
              <w:left w:val="nil"/>
              <w:bottom w:val="single" w:color="auto" w:sz="4" w:space="0"/>
              <w:right w:val="single" w:color="auto" w:sz="4" w:space="0"/>
            </w:tcBorders>
            <w:noWrap w:val="0"/>
            <w:vAlign w:val="center"/>
          </w:tcPr>
          <w:p w14:paraId="15E3DFF2">
            <w:pPr>
              <w:widowControl/>
              <w:jc w:val="left"/>
              <w:rPr>
                <w:rFonts w:hint="eastAsia"/>
                <w:kern w:val="0"/>
                <w:sz w:val="24"/>
                <w:szCs w:val="24"/>
              </w:rPr>
            </w:pPr>
            <w:r>
              <w:rPr>
                <w:kern w:val="0"/>
                <w:sz w:val="24"/>
                <w:szCs w:val="24"/>
                <w:lang w:val="en"/>
              </w:rPr>
              <w:t>实施耕地地力保护补贴、实际种粮农民一次性补贴</w:t>
            </w:r>
            <w:r>
              <w:rPr>
                <w:rFonts w:hint="eastAsia"/>
                <w:kern w:val="0"/>
                <w:sz w:val="24"/>
                <w:szCs w:val="24"/>
              </w:rPr>
              <w:t>；开展高标准农田建设；推进耕地质量提升：包括开展化肥减量增效示范；耕地深松</w:t>
            </w:r>
            <w:r>
              <w:rPr>
                <w:kern w:val="0"/>
                <w:sz w:val="24"/>
                <w:szCs w:val="24"/>
              </w:rPr>
              <w:t>项目</w:t>
            </w:r>
            <w:r>
              <w:rPr>
                <w:rFonts w:hint="eastAsia"/>
                <w:kern w:val="0"/>
                <w:sz w:val="24"/>
                <w:szCs w:val="24"/>
              </w:rPr>
              <w:t>。</w:t>
            </w:r>
          </w:p>
        </w:tc>
      </w:tr>
      <w:tr w14:paraId="2840930F">
        <w:tblPrEx>
          <w:tblCellMar>
            <w:top w:w="0" w:type="dxa"/>
            <w:left w:w="108" w:type="dxa"/>
            <w:bottom w:w="0" w:type="dxa"/>
            <w:right w:w="108" w:type="dxa"/>
          </w:tblCellMar>
        </w:tblPrEx>
        <w:trPr>
          <w:trHeight w:val="639" w:hRule="atLeast"/>
        </w:trPr>
        <w:tc>
          <w:tcPr>
            <w:tcW w:w="1693" w:type="dxa"/>
            <w:tcBorders>
              <w:top w:val="single" w:color="auto" w:sz="4" w:space="0"/>
              <w:left w:val="single" w:color="auto" w:sz="4" w:space="0"/>
              <w:bottom w:val="single" w:color="auto" w:sz="4" w:space="0"/>
              <w:right w:val="single" w:color="auto" w:sz="4" w:space="0"/>
            </w:tcBorders>
            <w:noWrap w:val="0"/>
            <w:vAlign w:val="center"/>
          </w:tcPr>
          <w:p w14:paraId="2A053899">
            <w:pPr>
              <w:widowControl/>
              <w:jc w:val="center"/>
              <w:rPr>
                <w:kern w:val="0"/>
                <w:sz w:val="24"/>
                <w:szCs w:val="24"/>
              </w:rPr>
            </w:pPr>
            <w:r>
              <w:rPr>
                <w:kern w:val="0"/>
                <w:sz w:val="24"/>
                <w:szCs w:val="24"/>
              </w:rPr>
              <w:t>西青</w:t>
            </w:r>
            <w:r>
              <w:rPr>
                <w:rFonts w:hint="eastAsia"/>
                <w:kern w:val="0"/>
                <w:sz w:val="24"/>
                <w:szCs w:val="24"/>
              </w:rPr>
              <w:t>区</w:t>
            </w:r>
          </w:p>
        </w:tc>
        <w:tc>
          <w:tcPr>
            <w:tcW w:w="12428" w:type="dxa"/>
            <w:tcBorders>
              <w:top w:val="single" w:color="auto" w:sz="4" w:space="0"/>
              <w:left w:val="nil"/>
              <w:bottom w:val="single" w:color="auto" w:sz="4" w:space="0"/>
              <w:right w:val="single" w:color="auto" w:sz="4" w:space="0"/>
            </w:tcBorders>
            <w:noWrap w:val="0"/>
            <w:vAlign w:val="center"/>
          </w:tcPr>
          <w:p w14:paraId="12DFFF8F">
            <w:pPr>
              <w:widowControl/>
              <w:jc w:val="left"/>
              <w:rPr>
                <w:rFonts w:hint="eastAsia"/>
                <w:kern w:val="0"/>
                <w:sz w:val="24"/>
                <w:szCs w:val="24"/>
              </w:rPr>
            </w:pPr>
            <w:r>
              <w:rPr>
                <w:kern w:val="0"/>
                <w:sz w:val="24"/>
                <w:szCs w:val="24"/>
                <w:lang w:val="en"/>
              </w:rPr>
              <w:t>实施耕地地力保护补贴、实际种粮农民一次性补贴</w:t>
            </w:r>
            <w:r>
              <w:rPr>
                <w:rFonts w:hint="eastAsia"/>
                <w:kern w:val="0"/>
                <w:sz w:val="24"/>
                <w:szCs w:val="24"/>
              </w:rPr>
              <w:t>；开展高标准农田建设；推进耕地质量提升：包括开展化肥减量增效示范。</w:t>
            </w:r>
          </w:p>
        </w:tc>
      </w:tr>
      <w:tr w14:paraId="47A44E89">
        <w:tblPrEx>
          <w:tblCellMar>
            <w:top w:w="0" w:type="dxa"/>
            <w:left w:w="108" w:type="dxa"/>
            <w:bottom w:w="0" w:type="dxa"/>
            <w:right w:w="108" w:type="dxa"/>
          </w:tblCellMar>
        </w:tblPrEx>
        <w:trPr>
          <w:trHeight w:val="668" w:hRule="atLeast"/>
        </w:trPr>
        <w:tc>
          <w:tcPr>
            <w:tcW w:w="1693" w:type="dxa"/>
            <w:tcBorders>
              <w:top w:val="single" w:color="auto" w:sz="4" w:space="0"/>
              <w:left w:val="single" w:color="auto" w:sz="4" w:space="0"/>
              <w:bottom w:val="single" w:color="auto" w:sz="4" w:space="0"/>
              <w:right w:val="single" w:color="auto" w:sz="4" w:space="0"/>
            </w:tcBorders>
            <w:noWrap w:val="0"/>
            <w:vAlign w:val="center"/>
          </w:tcPr>
          <w:p w14:paraId="65CA6F87">
            <w:pPr>
              <w:widowControl/>
              <w:jc w:val="center"/>
              <w:rPr>
                <w:kern w:val="0"/>
                <w:sz w:val="24"/>
                <w:szCs w:val="24"/>
              </w:rPr>
            </w:pPr>
            <w:r>
              <w:rPr>
                <w:kern w:val="0"/>
                <w:sz w:val="24"/>
                <w:szCs w:val="24"/>
              </w:rPr>
              <w:t>北辰</w:t>
            </w:r>
            <w:r>
              <w:rPr>
                <w:rFonts w:hint="eastAsia"/>
                <w:kern w:val="0"/>
                <w:sz w:val="24"/>
                <w:szCs w:val="24"/>
              </w:rPr>
              <w:t>区</w:t>
            </w:r>
          </w:p>
        </w:tc>
        <w:tc>
          <w:tcPr>
            <w:tcW w:w="12428" w:type="dxa"/>
            <w:tcBorders>
              <w:top w:val="single" w:color="auto" w:sz="4" w:space="0"/>
              <w:left w:val="nil"/>
              <w:bottom w:val="single" w:color="auto" w:sz="4" w:space="0"/>
              <w:right w:val="single" w:color="auto" w:sz="4" w:space="0"/>
            </w:tcBorders>
            <w:noWrap w:val="0"/>
            <w:vAlign w:val="center"/>
          </w:tcPr>
          <w:p w14:paraId="5E724D59">
            <w:pPr>
              <w:widowControl/>
              <w:jc w:val="left"/>
              <w:rPr>
                <w:rFonts w:hint="eastAsia"/>
                <w:kern w:val="0"/>
                <w:sz w:val="24"/>
                <w:szCs w:val="24"/>
              </w:rPr>
            </w:pPr>
            <w:r>
              <w:rPr>
                <w:kern w:val="0"/>
                <w:sz w:val="24"/>
                <w:szCs w:val="24"/>
                <w:lang w:val="en"/>
              </w:rPr>
              <w:t>实施耕地地力保护补贴、实际种粮农民一次性补贴</w:t>
            </w:r>
            <w:r>
              <w:rPr>
                <w:rFonts w:hint="eastAsia"/>
                <w:kern w:val="0"/>
                <w:sz w:val="24"/>
                <w:szCs w:val="24"/>
              </w:rPr>
              <w:t>；开展高标准农田建设；推进耕地质量提升：包括开展化肥减量增效示范；耕地深松</w:t>
            </w:r>
            <w:r>
              <w:rPr>
                <w:kern w:val="0"/>
                <w:sz w:val="24"/>
                <w:szCs w:val="24"/>
              </w:rPr>
              <w:t>项目</w:t>
            </w:r>
            <w:r>
              <w:rPr>
                <w:rFonts w:hint="eastAsia"/>
                <w:kern w:val="0"/>
                <w:sz w:val="24"/>
                <w:szCs w:val="24"/>
              </w:rPr>
              <w:t>。</w:t>
            </w:r>
          </w:p>
        </w:tc>
      </w:tr>
      <w:tr w14:paraId="3EC55529">
        <w:tblPrEx>
          <w:tblCellMar>
            <w:top w:w="0" w:type="dxa"/>
            <w:left w:w="108" w:type="dxa"/>
            <w:bottom w:w="0" w:type="dxa"/>
            <w:right w:w="108" w:type="dxa"/>
          </w:tblCellMar>
        </w:tblPrEx>
        <w:trPr>
          <w:trHeight w:val="662" w:hRule="atLeast"/>
        </w:trPr>
        <w:tc>
          <w:tcPr>
            <w:tcW w:w="1693" w:type="dxa"/>
            <w:tcBorders>
              <w:top w:val="single" w:color="auto" w:sz="4" w:space="0"/>
              <w:left w:val="single" w:color="auto" w:sz="4" w:space="0"/>
              <w:bottom w:val="single" w:color="auto" w:sz="4" w:space="0"/>
              <w:right w:val="single" w:color="auto" w:sz="4" w:space="0"/>
            </w:tcBorders>
            <w:noWrap w:val="0"/>
            <w:vAlign w:val="center"/>
          </w:tcPr>
          <w:p w14:paraId="4DEB208F">
            <w:pPr>
              <w:widowControl/>
              <w:jc w:val="center"/>
              <w:rPr>
                <w:kern w:val="0"/>
                <w:sz w:val="24"/>
                <w:szCs w:val="24"/>
              </w:rPr>
            </w:pPr>
            <w:r>
              <w:rPr>
                <w:kern w:val="0"/>
                <w:sz w:val="24"/>
                <w:szCs w:val="24"/>
              </w:rPr>
              <w:t>滨海新区</w:t>
            </w:r>
          </w:p>
        </w:tc>
        <w:tc>
          <w:tcPr>
            <w:tcW w:w="12428" w:type="dxa"/>
            <w:tcBorders>
              <w:top w:val="single" w:color="auto" w:sz="4" w:space="0"/>
              <w:left w:val="nil"/>
              <w:bottom w:val="single" w:color="auto" w:sz="4" w:space="0"/>
              <w:right w:val="single" w:color="auto" w:sz="4" w:space="0"/>
            </w:tcBorders>
            <w:noWrap w:val="0"/>
            <w:vAlign w:val="center"/>
          </w:tcPr>
          <w:p w14:paraId="14036590">
            <w:pPr>
              <w:widowControl/>
              <w:jc w:val="left"/>
              <w:rPr>
                <w:kern w:val="0"/>
                <w:sz w:val="24"/>
                <w:szCs w:val="24"/>
              </w:rPr>
            </w:pPr>
            <w:r>
              <w:rPr>
                <w:kern w:val="0"/>
                <w:sz w:val="24"/>
                <w:szCs w:val="24"/>
                <w:lang w:val="en"/>
              </w:rPr>
              <w:t>实施耕地地力保护补贴、实际种粮农民一次性补贴</w:t>
            </w:r>
            <w:r>
              <w:rPr>
                <w:rFonts w:hint="eastAsia"/>
                <w:kern w:val="0"/>
                <w:sz w:val="24"/>
                <w:szCs w:val="24"/>
              </w:rPr>
              <w:t>；开展高标准农田建设；推进耕地质量提升：包括开展化肥减量增效示范。</w:t>
            </w:r>
          </w:p>
        </w:tc>
      </w:tr>
      <w:tr w14:paraId="59FDF6D2">
        <w:tblPrEx>
          <w:tblCellMar>
            <w:top w:w="0" w:type="dxa"/>
            <w:left w:w="108" w:type="dxa"/>
            <w:bottom w:w="0" w:type="dxa"/>
            <w:right w:w="108" w:type="dxa"/>
          </w:tblCellMar>
        </w:tblPrEx>
        <w:trPr>
          <w:trHeight w:val="662" w:hRule="atLeast"/>
        </w:trPr>
        <w:tc>
          <w:tcPr>
            <w:tcW w:w="1693" w:type="dxa"/>
            <w:tcBorders>
              <w:top w:val="single" w:color="auto" w:sz="4" w:space="0"/>
              <w:left w:val="single" w:color="auto" w:sz="4" w:space="0"/>
              <w:bottom w:val="single" w:color="auto" w:sz="4" w:space="0"/>
              <w:right w:val="single" w:color="auto" w:sz="4" w:space="0"/>
            </w:tcBorders>
            <w:noWrap w:val="0"/>
            <w:vAlign w:val="center"/>
          </w:tcPr>
          <w:p w14:paraId="61A63BF1">
            <w:pPr>
              <w:widowControl/>
              <w:jc w:val="center"/>
              <w:rPr>
                <w:rFonts w:hint="eastAsia"/>
                <w:kern w:val="0"/>
                <w:sz w:val="24"/>
                <w:szCs w:val="24"/>
              </w:rPr>
            </w:pPr>
            <w:r>
              <w:rPr>
                <w:rFonts w:hint="eastAsia"/>
                <w:kern w:val="0"/>
                <w:sz w:val="24"/>
                <w:szCs w:val="24"/>
              </w:rPr>
              <w:t>市级有</w:t>
            </w:r>
            <w:r>
              <w:rPr>
                <w:kern w:val="0"/>
                <w:sz w:val="24"/>
                <w:szCs w:val="24"/>
              </w:rPr>
              <w:t>关单位</w:t>
            </w:r>
          </w:p>
        </w:tc>
        <w:tc>
          <w:tcPr>
            <w:tcW w:w="12428" w:type="dxa"/>
            <w:tcBorders>
              <w:top w:val="single" w:color="auto" w:sz="4" w:space="0"/>
              <w:left w:val="nil"/>
              <w:bottom w:val="single" w:color="auto" w:sz="4" w:space="0"/>
              <w:right w:val="single" w:color="auto" w:sz="4" w:space="0"/>
            </w:tcBorders>
            <w:noWrap w:val="0"/>
            <w:vAlign w:val="center"/>
          </w:tcPr>
          <w:p w14:paraId="5E69E40B">
            <w:pPr>
              <w:widowControl/>
              <w:jc w:val="left"/>
              <w:rPr>
                <w:kern w:val="0"/>
                <w:sz w:val="24"/>
                <w:szCs w:val="24"/>
              </w:rPr>
            </w:pPr>
            <w:r>
              <w:rPr>
                <w:rFonts w:hint="eastAsia"/>
                <w:kern w:val="0"/>
                <w:sz w:val="24"/>
                <w:szCs w:val="24"/>
              </w:rPr>
              <w:t>推进耕地质量提升：</w:t>
            </w:r>
            <w:r>
              <w:rPr>
                <w:rFonts w:hint="eastAsia"/>
                <w:kern w:val="0"/>
                <w:sz w:val="24"/>
                <w:szCs w:val="24"/>
                <w:lang w:eastAsia="zh-CN"/>
              </w:rPr>
              <w:t>包括</w:t>
            </w:r>
            <w:r>
              <w:rPr>
                <w:rFonts w:hint="eastAsia"/>
                <w:kern w:val="0"/>
                <w:sz w:val="24"/>
                <w:szCs w:val="24"/>
              </w:rPr>
              <w:t>第三次全国土壤普查。</w:t>
            </w:r>
          </w:p>
        </w:tc>
      </w:tr>
    </w:tbl>
    <w:p w14:paraId="0B88CCA2">
      <w:pPr>
        <w:spacing w:line="520" w:lineRule="exact"/>
        <w:rPr>
          <w:rFonts w:ascii="黑体" w:hAnsi="黑体" w:eastAsia="黑体" w:cs="黑体"/>
        </w:rPr>
        <w:sectPr>
          <w:footerReference r:id="rId10" w:type="default"/>
          <w:pgSz w:w="16838" w:h="11906" w:orient="landscape"/>
          <w:pgMar w:top="964" w:right="1361" w:bottom="964" w:left="1361" w:header="851" w:footer="851" w:gutter="0"/>
          <w:pgNumType w:fmt="decimal" w:start="29"/>
          <w:cols w:space="720" w:num="1"/>
          <w:docGrid w:linePitch="612" w:charSpace="-4740"/>
        </w:sectPr>
      </w:pPr>
    </w:p>
    <w:tbl>
      <w:tblPr>
        <w:tblStyle w:val="9"/>
        <w:tblW w:w="0" w:type="auto"/>
        <w:tblInd w:w="108" w:type="dxa"/>
        <w:tblLayout w:type="fixed"/>
        <w:tblCellMar>
          <w:top w:w="0" w:type="dxa"/>
          <w:left w:w="108" w:type="dxa"/>
          <w:bottom w:w="0" w:type="dxa"/>
          <w:right w:w="108" w:type="dxa"/>
        </w:tblCellMar>
      </w:tblPr>
      <w:tblGrid>
        <w:gridCol w:w="1656"/>
        <w:gridCol w:w="12378"/>
      </w:tblGrid>
      <w:tr w14:paraId="29AE6299">
        <w:tblPrEx>
          <w:tblCellMar>
            <w:top w:w="0" w:type="dxa"/>
            <w:left w:w="108" w:type="dxa"/>
            <w:bottom w:w="0" w:type="dxa"/>
            <w:right w:w="108" w:type="dxa"/>
          </w:tblCellMar>
        </w:tblPrEx>
        <w:trPr>
          <w:trHeight w:val="585" w:hRule="atLeast"/>
        </w:trPr>
        <w:tc>
          <w:tcPr>
            <w:tcW w:w="14034" w:type="dxa"/>
            <w:gridSpan w:val="2"/>
            <w:tcBorders>
              <w:top w:val="nil"/>
              <w:left w:val="nil"/>
              <w:bottom w:val="nil"/>
              <w:right w:val="nil"/>
            </w:tcBorders>
            <w:noWrap w:val="0"/>
            <w:vAlign w:val="center"/>
          </w:tcPr>
          <w:p w14:paraId="3EFB120C">
            <w:pPr>
              <w:spacing w:line="520" w:lineRule="exact"/>
              <w:rPr>
                <w:rFonts w:ascii="黑体" w:hAnsi="黑体" w:eastAsia="黑体" w:cs="黑体"/>
                <w:lang w:val="en"/>
              </w:rPr>
            </w:pPr>
            <w:r>
              <w:rPr>
                <w:rFonts w:hint="eastAsia" w:ascii="黑体" w:hAnsi="黑体" w:eastAsia="黑体" w:cs="黑体"/>
              </w:rPr>
              <w:t>附件</w:t>
            </w:r>
            <w:r>
              <w:rPr>
                <w:rFonts w:ascii="黑体" w:hAnsi="黑体" w:eastAsia="黑体" w:cs="黑体"/>
                <w:lang w:val="en"/>
              </w:rPr>
              <w:t>10</w:t>
            </w:r>
          </w:p>
          <w:p w14:paraId="1234E553">
            <w:pPr>
              <w:widowControl/>
              <w:spacing w:line="560" w:lineRule="exact"/>
              <w:jc w:val="center"/>
              <w:rPr>
                <w:rFonts w:hint="eastAsia"/>
              </w:rPr>
            </w:pPr>
            <w:r>
              <w:rPr>
                <w:rFonts w:hint="eastAsia" w:ascii="方正小标宋简体" w:hAnsi="方正小标宋简体" w:eastAsia="方正小标宋简体" w:cs="方正小标宋简体"/>
                <w:sz w:val="44"/>
                <w:szCs w:val="44"/>
              </w:rPr>
              <w:t>农业产业发展资金项目任务清单</w:t>
            </w:r>
          </w:p>
        </w:tc>
      </w:tr>
      <w:tr w14:paraId="7BC9247C">
        <w:tblPrEx>
          <w:tblCellMar>
            <w:top w:w="0" w:type="dxa"/>
            <w:left w:w="108" w:type="dxa"/>
            <w:bottom w:w="0" w:type="dxa"/>
            <w:right w:w="108" w:type="dxa"/>
          </w:tblCellMar>
        </w:tblPrEx>
        <w:trPr>
          <w:trHeight w:val="582" w:hRule="atLeast"/>
        </w:trPr>
        <w:tc>
          <w:tcPr>
            <w:tcW w:w="1656" w:type="dxa"/>
            <w:tcBorders>
              <w:top w:val="single" w:color="auto" w:sz="4" w:space="0"/>
              <w:left w:val="single" w:color="auto" w:sz="4" w:space="0"/>
              <w:bottom w:val="single" w:color="auto" w:sz="4" w:space="0"/>
              <w:right w:val="nil"/>
            </w:tcBorders>
            <w:noWrap w:val="0"/>
            <w:vAlign w:val="center"/>
          </w:tcPr>
          <w:p w14:paraId="3EAF9E4E">
            <w:pPr>
              <w:widowControl/>
              <w:jc w:val="center"/>
              <w:rPr>
                <w:b/>
                <w:bCs/>
                <w:kern w:val="0"/>
                <w:sz w:val="24"/>
                <w:szCs w:val="24"/>
              </w:rPr>
            </w:pPr>
            <w:r>
              <w:rPr>
                <w:b/>
                <w:bCs/>
                <w:kern w:val="0"/>
                <w:sz w:val="24"/>
                <w:szCs w:val="24"/>
              </w:rPr>
              <w:t>各区</w:t>
            </w:r>
          </w:p>
        </w:tc>
        <w:tc>
          <w:tcPr>
            <w:tcW w:w="12378" w:type="dxa"/>
            <w:tcBorders>
              <w:top w:val="single" w:color="auto" w:sz="4" w:space="0"/>
              <w:left w:val="single" w:color="auto" w:sz="4" w:space="0"/>
              <w:bottom w:val="single" w:color="auto" w:sz="4" w:space="0"/>
              <w:right w:val="single" w:color="auto" w:sz="4" w:space="0"/>
            </w:tcBorders>
            <w:noWrap w:val="0"/>
            <w:vAlign w:val="center"/>
          </w:tcPr>
          <w:p w14:paraId="6C4B49F9">
            <w:pPr>
              <w:widowControl/>
              <w:jc w:val="center"/>
              <w:rPr>
                <w:b/>
                <w:bCs/>
                <w:kern w:val="0"/>
                <w:sz w:val="24"/>
                <w:szCs w:val="24"/>
              </w:rPr>
            </w:pPr>
            <w:r>
              <w:rPr>
                <w:rFonts w:hint="eastAsia"/>
                <w:b/>
                <w:bCs/>
                <w:kern w:val="0"/>
                <w:sz w:val="24"/>
                <w:szCs w:val="24"/>
                <w:lang w:val="en"/>
              </w:rPr>
              <w:t>任务清单</w:t>
            </w:r>
          </w:p>
        </w:tc>
      </w:tr>
      <w:tr w14:paraId="308A12D8">
        <w:tblPrEx>
          <w:tblCellMar>
            <w:top w:w="0" w:type="dxa"/>
            <w:left w:w="108" w:type="dxa"/>
            <w:bottom w:w="0" w:type="dxa"/>
            <w:right w:w="108" w:type="dxa"/>
          </w:tblCellMar>
        </w:tblPrEx>
        <w:trPr>
          <w:trHeight w:val="661"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547E2BED">
            <w:pPr>
              <w:widowControl/>
              <w:jc w:val="center"/>
              <w:rPr>
                <w:kern w:val="0"/>
                <w:sz w:val="24"/>
                <w:szCs w:val="24"/>
              </w:rPr>
            </w:pPr>
            <w:r>
              <w:rPr>
                <w:kern w:val="0"/>
                <w:sz w:val="24"/>
                <w:szCs w:val="24"/>
              </w:rPr>
              <w:t>蓟州</w:t>
            </w:r>
            <w:r>
              <w:rPr>
                <w:rFonts w:hint="eastAsia"/>
                <w:kern w:val="0"/>
                <w:sz w:val="24"/>
                <w:szCs w:val="24"/>
              </w:rPr>
              <w:t>区</w:t>
            </w:r>
          </w:p>
        </w:tc>
        <w:tc>
          <w:tcPr>
            <w:tcW w:w="12378" w:type="dxa"/>
            <w:tcBorders>
              <w:top w:val="single" w:color="auto" w:sz="4" w:space="0"/>
              <w:left w:val="nil"/>
              <w:bottom w:val="single" w:color="auto" w:sz="4" w:space="0"/>
              <w:right w:val="single" w:color="auto" w:sz="4" w:space="0"/>
            </w:tcBorders>
            <w:noWrap w:val="0"/>
            <w:vAlign w:val="center"/>
          </w:tcPr>
          <w:p w14:paraId="4766FB6F">
            <w:pPr>
              <w:widowControl/>
              <w:jc w:val="left"/>
              <w:rPr>
                <w:rFonts w:hint="eastAsia" w:eastAsia="仿宋_GB2312"/>
                <w:kern w:val="0"/>
                <w:sz w:val="24"/>
                <w:szCs w:val="24"/>
                <w:highlight w:val="none"/>
                <w:lang w:eastAsia="zh-CN"/>
              </w:rPr>
            </w:pPr>
            <w:r>
              <w:rPr>
                <w:rFonts w:hint="eastAsia"/>
                <w:kern w:val="0"/>
                <w:sz w:val="24"/>
                <w:szCs w:val="24"/>
                <w:highlight w:val="none"/>
              </w:rPr>
              <w:t>实施农机购置与应用补贴；创建优势特色产业集群（生猪）、农业产业强镇；实施生猪良种补贴；开展集中连片养殖池塘标准化改造和尾水达标治理；疫情期间抢种速生叶菜补贴；“菜篮子”稳产保供</w:t>
            </w:r>
            <w:r>
              <w:rPr>
                <w:rFonts w:hint="eastAsia"/>
                <w:kern w:val="0"/>
                <w:sz w:val="24"/>
                <w:szCs w:val="24"/>
                <w:highlight w:val="none"/>
                <w:lang w:eastAsia="zh-CN"/>
              </w:rPr>
              <w:t>；实施</w:t>
            </w:r>
            <w:r>
              <w:rPr>
                <w:kern w:val="0"/>
                <w:sz w:val="24"/>
                <w:szCs w:val="24"/>
                <w:lang w:val="en"/>
              </w:rPr>
              <w:t>衔接推进乡村振兴（激励资金）项目</w:t>
            </w:r>
            <w:r>
              <w:rPr>
                <w:rFonts w:hint="eastAsia"/>
                <w:kern w:val="0"/>
                <w:sz w:val="24"/>
                <w:szCs w:val="24"/>
                <w:lang w:val="en" w:eastAsia="zh-CN"/>
              </w:rPr>
              <w:t>。</w:t>
            </w:r>
          </w:p>
        </w:tc>
      </w:tr>
      <w:tr w14:paraId="0CCAD2F9">
        <w:tblPrEx>
          <w:tblCellMar>
            <w:top w:w="0" w:type="dxa"/>
            <w:left w:w="108" w:type="dxa"/>
            <w:bottom w:w="0" w:type="dxa"/>
            <w:right w:w="108" w:type="dxa"/>
          </w:tblCellMar>
        </w:tblPrEx>
        <w:trPr>
          <w:trHeight w:val="481"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15E54CAA">
            <w:pPr>
              <w:widowControl/>
              <w:jc w:val="center"/>
              <w:rPr>
                <w:kern w:val="0"/>
                <w:sz w:val="24"/>
                <w:szCs w:val="24"/>
              </w:rPr>
            </w:pPr>
            <w:r>
              <w:rPr>
                <w:kern w:val="0"/>
                <w:sz w:val="24"/>
                <w:szCs w:val="24"/>
              </w:rPr>
              <w:t>宝坻</w:t>
            </w:r>
            <w:r>
              <w:rPr>
                <w:rFonts w:hint="eastAsia"/>
                <w:kern w:val="0"/>
                <w:sz w:val="24"/>
                <w:szCs w:val="24"/>
              </w:rPr>
              <w:t>区</w:t>
            </w:r>
          </w:p>
        </w:tc>
        <w:tc>
          <w:tcPr>
            <w:tcW w:w="12378" w:type="dxa"/>
            <w:tcBorders>
              <w:top w:val="single" w:color="auto" w:sz="4" w:space="0"/>
              <w:left w:val="nil"/>
              <w:bottom w:val="single" w:color="auto" w:sz="4" w:space="0"/>
              <w:right w:val="single" w:color="auto" w:sz="4" w:space="0"/>
            </w:tcBorders>
            <w:noWrap w:val="0"/>
            <w:vAlign w:val="center"/>
          </w:tcPr>
          <w:p w14:paraId="16658A86">
            <w:pPr>
              <w:widowControl/>
              <w:jc w:val="left"/>
              <w:rPr>
                <w:rFonts w:hint="eastAsia"/>
                <w:kern w:val="0"/>
                <w:sz w:val="24"/>
                <w:szCs w:val="24"/>
              </w:rPr>
            </w:pPr>
            <w:r>
              <w:rPr>
                <w:rFonts w:hint="eastAsia"/>
                <w:kern w:val="0"/>
                <w:sz w:val="24"/>
                <w:szCs w:val="24"/>
              </w:rPr>
              <w:t>实施农机购置与应用补贴；创建国家现代农业产业园、优势特色产业集群（生猪、小站稻）、支持做强做大畜牧业重点龙头企业；实施生猪良种补贴；疫情期间抢种速生叶菜补贴；“菜篮子”稳产保供。</w:t>
            </w:r>
          </w:p>
        </w:tc>
      </w:tr>
      <w:tr w14:paraId="6CF9A5C8">
        <w:tblPrEx>
          <w:tblCellMar>
            <w:top w:w="0" w:type="dxa"/>
            <w:left w:w="108" w:type="dxa"/>
            <w:bottom w:w="0" w:type="dxa"/>
            <w:right w:w="108" w:type="dxa"/>
          </w:tblCellMar>
        </w:tblPrEx>
        <w:trPr>
          <w:trHeight w:val="474"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851AB55">
            <w:pPr>
              <w:widowControl/>
              <w:jc w:val="center"/>
              <w:rPr>
                <w:kern w:val="0"/>
                <w:sz w:val="24"/>
                <w:szCs w:val="24"/>
              </w:rPr>
            </w:pPr>
            <w:r>
              <w:rPr>
                <w:kern w:val="0"/>
                <w:sz w:val="24"/>
                <w:szCs w:val="24"/>
              </w:rPr>
              <w:t>武清</w:t>
            </w:r>
            <w:r>
              <w:rPr>
                <w:rFonts w:hint="eastAsia"/>
                <w:kern w:val="0"/>
                <w:sz w:val="24"/>
                <w:szCs w:val="24"/>
              </w:rPr>
              <w:t>区</w:t>
            </w:r>
          </w:p>
        </w:tc>
        <w:tc>
          <w:tcPr>
            <w:tcW w:w="12378" w:type="dxa"/>
            <w:tcBorders>
              <w:top w:val="single" w:color="auto" w:sz="4" w:space="0"/>
              <w:left w:val="nil"/>
              <w:bottom w:val="single" w:color="auto" w:sz="4" w:space="0"/>
              <w:right w:val="single" w:color="auto" w:sz="4" w:space="0"/>
            </w:tcBorders>
            <w:noWrap w:val="0"/>
            <w:vAlign w:val="center"/>
          </w:tcPr>
          <w:p w14:paraId="341AFDDD">
            <w:pPr>
              <w:widowControl/>
              <w:jc w:val="left"/>
              <w:rPr>
                <w:rFonts w:hint="eastAsia"/>
                <w:kern w:val="0"/>
                <w:sz w:val="24"/>
                <w:szCs w:val="24"/>
              </w:rPr>
            </w:pPr>
            <w:r>
              <w:rPr>
                <w:rFonts w:hint="eastAsia"/>
                <w:kern w:val="0"/>
                <w:sz w:val="24"/>
                <w:szCs w:val="24"/>
              </w:rPr>
              <w:t>实施农机购置与应用补贴；创建国家现代农业产业园；实施奶业生产能力提升整县推进行动；实施生猪良种补贴；实施棉花</w:t>
            </w:r>
            <w:r>
              <w:rPr>
                <w:rFonts w:hint="eastAsia"/>
                <w:kern w:val="0"/>
                <w:sz w:val="24"/>
                <w:szCs w:val="24"/>
                <w:lang w:eastAsia="zh-CN"/>
              </w:rPr>
              <w:t>种植</w:t>
            </w:r>
            <w:r>
              <w:rPr>
                <w:rFonts w:hint="eastAsia"/>
                <w:kern w:val="0"/>
                <w:sz w:val="24"/>
                <w:szCs w:val="24"/>
              </w:rPr>
              <w:t>补贴；疫情期间抢种速生叶菜补贴；“菜篮子”稳产保供</w:t>
            </w:r>
            <w:r>
              <w:rPr>
                <w:rFonts w:hint="eastAsia"/>
                <w:kern w:val="0"/>
                <w:sz w:val="24"/>
                <w:szCs w:val="24"/>
                <w:lang w:eastAsia="zh-CN"/>
              </w:rPr>
              <w:t>；</w:t>
            </w:r>
            <w:r>
              <w:rPr>
                <w:rFonts w:hint="eastAsia"/>
                <w:kern w:val="0"/>
                <w:sz w:val="24"/>
                <w:szCs w:val="24"/>
              </w:rPr>
              <w:t>实施衔接推进乡村振兴（激励资金）项目。</w:t>
            </w:r>
          </w:p>
        </w:tc>
      </w:tr>
      <w:tr w14:paraId="4522A2F9">
        <w:tblPrEx>
          <w:tblCellMar>
            <w:top w:w="0" w:type="dxa"/>
            <w:left w:w="108" w:type="dxa"/>
            <w:bottom w:w="0" w:type="dxa"/>
            <w:right w:w="108" w:type="dxa"/>
          </w:tblCellMar>
        </w:tblPrEx>
        <w:trPr>
          <w:trHeight w:val="689"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456A0453">
            <w:pPr>
              <w:widowControl/>
              <w:jc w:val="center"/>
              <w:rPr>
                <w:kern w:val="0"/>
                <w:sz w:val="24"/>
                <w:szCs w:val="24"/>
              </w:rPr>
            </w:pPr>
            <w:r>
              <w:rPr>
                <w:kern w:val="0"/>
                <w:sz w:val="24"/>
                <w:szCs w:val="24"/>
              </w:rPr>
              <w:t>宁河</w:t>
            </w:r>
            <w:r>
              <w:rPr>
                <w:rFonts w:hint="eastAsia"/>
                <w:kern w:val="0"/>
                <w:sz w:val="24"/>
                <w:szCs w:val="24"/>
              </w:rPr>
              <w:t>区</w:t>
            </w:r>
          </w:p>
        </w:tc>
        <w:tc>
          <w:tcPr>
            <w:tcW w:w="12378" w:type="dxa"/>
            <w:tcBorders>
              <w:top w:val="single" w:color="auto" w:sz="4" w:space="0"/>
              <w:left w:val="nil"/>
              <w:bottom w:val="single" w:color="auto" w:sz="4" w:space="0"/>
              <w:right w:val="single" w:color="auto" w:sz="4" w:space="0"/>
            </w:tcBorders>
            <w:noWrap w:val="0"/>
            <w:vAlign w:val="center"/>
          </w:tcPr>
          <w:p w14:paraId="1443FEE9">
            <w:pPr>
              <w:widowControl/>
              <w:jc w:val="left"/>
              <w:rPr>
                <w:rFonts w:hint="eastAsia"/>
                <w:kern w:val="0"/>
                <w:sz w:val="24"/>
                <w:szCs w:val="24"/>
                <w:highlight w:val="none"/>
              </w:rPr>
            </w:pPr>
            <w:r>
              <w:rPr>
                <w:rFonts w:hint="eastAsia"/>
                <w:kern w:val="0"/>
                <w:sz w:val="24"/>
                <w:szCs w:val="24"/>
                <w:highlight w:val="none"/>
              </w:rPr>
              <w:t>实施农机购置与应用补贴；支持符合条件的国家畜禽核心育种场、种公畜站、奶牛生产性能测定中心等开展种畜禽生产性能测定工作；创建优势特色产业集群（小站稻）、农业产业强镇、优势特色产业发展扶持项目</w:t>
            </w:r>
            <w:r>
              <w:rPr>
                <w:rFonts w:hint="eastAsia"/>
                <w:kern w:val="0"/>
                <w:sz w:val="24"/>
                <w:szCs w:val="24"/>
                <w:highlight w:val="none"/>
                <w:lang w:eastAsia="zh-CN"/>
              </w:rPr>
              <w:t>（一般公共预算）、</w:t>
            </w:r>
            <w:r>
              <w:rPr>
                <w:rFonts w:hint="eastAsia"/>
                <w:kern w:val="0"/>
                <w:sz w:val="24"/>
                <w:szCs w:val="24"/>
                <w:highlight w:val="none"/>
              </w:rPr>
              <w:t>优势特色产业发展扶持项目</w:t>
            </w:r>
            <w:r>
              <w:rPr>
                <w:rFonts w:hint="eastAsia"/>
                <w:kern w:val="0"/>
                <w:sz w:val="24"/>
                <w:szCs w:val="24"/>
                <w:highlight w:val="none"/>
                <w:lang w:eastAsia="zh-CN"/>
              </w:rPr>
              <w:t>（生猪种业项目）</w:t>
            </w:r>
            <w:r>
              <w:rPr>
                <w:rFonts w:hint="eastAsia"/>
                <w:kern w:val="0"/>
                <w:sz w:val="24"/>
                <w:szCs w:val="24"/>
                <w:highlight w:val="none"/>
              </w:rPr>
              <w:t>；实施生猪良种补贴；开</w:t>
            </w:r>
            <w:r>
              <w:rPr>
                <w:rFonts w:hint="eastAsia" w:ascii="Times New Roman" w:hAnsi="Times New Roman" w:cs="Times New Roman"/>
                <w:kern w:val="0"/>
                <w:sz w:val="24"/>
                <w:szCs w:val="24"/>
                <w:highlight w:val="none"/>
              </w:rPr>
              <w:t>展集中连片养殖池塘标准化改造和尾水达标治理</w:t>
            </w:r>
            <w:r>
              <w:rPr>
                <w:rFonts w:hint="eastAsia"/>
                <w:kern w:val="0"/>
                <w:sz w:val="24"/>
                <w:szCs w:val="24"/>
                <w:highlight w:val="none"/>
              </w:rPr>
              <w:t>；实施棉花</w:t>
            </w:r>
            <w:r>
              <w:rPr>
                <w:rFonts w:hint="eastAsia"/>
                <w:kern w:val="0"/>
                <w:sz w:val="24"/>
                <w:szCs w:val="24"/>
                <w:highlight w:val="none"/>
                <w:lang w:eastAsia="zh-CN"/>
              </w:rPr>
              <w:t>种植</w:t>
            </w:r>
            <w:r>
              <w:rPr>
                <w:rFonts w:hint="eastAsia"/>
                <w:kern w:val="0"/>
                <w:sz w:val="24"/>
                <w:szCs w:val="24"/>
                <w:highlight w:val="none"/>
              </w:rPr>
              <w:t>补贴；疫情期间抢种速生叶菜补贴；“菜篮子”稳产保供</w:t>
            </w:r>
            <w:r>
              <w:rPr>
                <w:rFonts w:hint="eastAsia"/>
                <w:kern w:val="0"/>
                <w:sz w:val="24"/>
                <w:szCs w:val="24"/>
                <w:highlight w:val="none"/>
                <w:lang w:eastAsia="zh-CN"/>
              </w:rPr>
              <w:t>；</w:t>
            </w:r>
            <w:r>
              <w:rPr>
                <w:rFonts w:hint="eastAsia"/>
                <w:kern w:val="0"/>
                <w:sz w:val="24"/>
                <w:szCs w:val="24"/>
              </w:rPr>
              <w:t>实施衔接推进乡村振兴（激励资金）项目</w:t>
            </w:r>
            <w:r>
              <w:rPr>
                <w:rFonts w:hint="eastAsia"/>
                <w:kern w:val="0"/>
                <w:sz w:val="24"/>
                <w:szCs w:val="24"/>
                <w:highlight w:val="none"/>
              </w:rPr>
              <w:t>。</w:t>
            </w:r>
          </w:p>
        </w:tc>
      </w:tr>
      <w:tr w14:paraId="60692FDF">
        <w:tblPrEx>
          <w:tblCellMar>
            <w:top w:w="0" w:type="dxa"/>
            <w:left w:w="108" w:type="dxa"/>
            <w:bottom w:w="0" w:type="dxa"/>
            <w:right w:w="108" w:type="dxa"/>
          </w:tblCellMar>
        </w:tblPrEx>
        <w:trPr>
          <w:trHeight w:val="440"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E4E6664">
            <w:pPr>
              <w:widowControl/>
              <w:jc w:val="center"/>
              <w:rPr>
                <w:kern w:val="0"/>
                <w:sz w:val="24"/>
                <w:szCs w:val="24"/>
              </w:rPr>
            </w:pPr>
            <w:r>
              <w:rPr>
                <w:rFonts w:hint="eastAsia"/>
                <w:kern w:val="0"/>
                <w:sz w:val="24"/>
                <w:szCs w:val="24"/>
              </w:rPr>
              <w:t>静海区</w:t>
            </w:r>
          </w:p>
        </w:tc>
        <w:tc>
          <w:tcPr>
            <w:tcW w:w="12378" w:type="dxa"/>
            <w:tcBorders>
              <w:top w:val="single" w:color="auto" w:sz="4" w:space="0"/>
              <w:left w:val="nil"/>
              <w:bottom w:val="single" w:color="auto" w:sz="4" w:space="0"/>
              <w:right w:val="single" w:color="auto" w:sz="4" w:space="0"/>
            </w:tcBorders>
            <w:noWrap w:val="0"/>
            <w:vAlign w:val="center"/>
          </w:tcPr>
          <w:p w14:paraId="17D17F53">
            <w:pPr>
              <w:widowControl/>
              <w:jc w:val="left"/>
              <w:rPr>
                <w:rFonts w:hint="eastAsia"/>
                <w:kern w:val="0"/>
                <w:sz w:val="24"/>
                <w:szCs w:val="24"/>
                <w:highlight w:val="none"/>
              </w:rPr>
            </w:pPr>
            <w:r>
              <w:rPr>
                <w:rFonts w:hint="eastAsia"/>
                <w:kern w:val="0"/>
                <w:sz w:val="24"/>
                <w:szCs w:val="24"/>
                <w:highlight w:val="none"/>
              </w:rPr>
              <w:t>实施农机购置与应用补贴；创建农业产业强镇；实施生猪良种补贴；</w:t>
            </w:r>
            <w:r>
              <w:rPr>
                <w:rFonts w:hint="eastAsia" w:ascii="Times New Roman" w:hAnsi="Times New Roman" w:cs="Times New Roman"/>
                <w:kern w:val="0"/>
                <w:sz w:val="24"/>
                <w:szCs w:val="24"/>
                <w:highlight w:val="none"/>
              </w:rPr>
              <w:t>开展集中连片养殖池塘标准化改造和尾水达标治理；</w:t>
            </w:r>
            <w:r>
              <w:rPr>
                <w:rFonts w:hint="eastAsia"/>
                <w:kern w:val="0"/>
                <w:sz w:val="24"/>
                <w:szCs w:val="24"/>
                <w:highlight w:val="none"/>
              </w:rPr>
              <w:t>农民丰收</w:t>
            </w:r>
            <w:r>
              <w:rPr>
                <w:rFonts w:hint="eastAsia"/>
                <w:kern w:val="0"/>
                <w:sz w:val="24"/>
                <w:szCs w:val="24"/>
                <w:highlight w:val="none"/>
                <w:lang w:eastAsia="zh-CN"/>
              </w:rPr>
              <w:t>节</w:t>
            </w:r>
            <w:r>
              <w:rPr>
                <w:rFonts w:hint="eastAsia"/>
                <w:kern w:val="0"/>
                <w:sz w:val="24"/>
                <w:szCs w:val="24"/>
                <w:highlight w:val="none"/>
              </w:rPr>
              <w:t>；实施棉花</w:t>
            </w:r>
            <w:r>
              <w:rPr>
                <w:rFonts w:hint="eastAsia"/>
                <w:kern w:val="0"/>
                <w:sz w:val="24"/>
                <w:szCs w:val="24"/>
                <w:highlight w:val="none"/>
                <w:lang w:eastAsia="zh-CN"/>
              </w:rPr>
              <w:t>种植</w:t>
            </w:r>
            <w:r>
              <w:rPr>
                <w:rFonts w:hint="eastAsia"/>
                <w:kern w:val="0"/>
                <w:sz w:val="24"/>
                <w:szCs w:val="24"/>
                <w:highlight w:val="none"/>
              </w:rPr>
              <w:t>补贴；疫情期间抢种速生叶菜补贴；“菜篮子”稳产保供。</w:t>
            </w:r>
          </w:p>
        </w:tc>
      </w:tr>
      <w:tr w14:paraId="44599EEC">
        <w:tblPrEx>
          <w:tblCellMar>
            <w:top w:w="0" w:type="dxa"/>
            <w:left w:w="108" w:type="dxa"/>
            <w:bottom w:w="0" w:type="dxa"/>
            <w:right w:w="108" w:type="dxa"/>
          </w:tblCellMar>
        </w:tblPrEx>
        <w:trPr>
          <w:trHeight w:val="40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D480E23">
            <w:pPr>
              <w:widowControl/>
              <w:jc w:val="center"/>
              <w:rPr>
                <w:kern w:val="0"/>
                <w:sz w:val="24"/>
                <w:szCs w:val="24"/>
              </w:rPr>
            </w:pPr>
            <w:r>
              <w:rPr>
                <w:rFonts w:hint="eastAsia"/>
                <w:kern w:val="0"/>
                <w:sz w:val="24"/>
                <w:szCs w:val="24"/>
              </w:rPr>
              <w:t>东丽区</w:t>
            </w:r>
          </w:p>
        </w:tc>
        <w:tc>
          <w:tcPr>
            <w:tcW w:w="12378" w:type="dxa"/>
            <w:tcBorders>
              <w:top w:val="single" w:color="auto" w:sz="4" w:space="0"/>
              <w:left w:val="nil"/>
              <w:bottom w:val="single" w:color="auto" w:sz="4" w:space="0"/>
              <w:right w:val="single" w:color="auto" w:sz="4" w:space="0"/>
            </w:tcBorders>
            <w:noWrap w:val="0"/>
            <w:vAlign w:val="center"/>
          </w:tcPr>
          <w:p w14:paraId="61FC1EFF">
            <w:pPr>
              <w:widowControl/>
              <w:jc w:val="left"/>
              <w:rPr>
                <w:rFonts w:hint="eastAsia"/>
                <w:kern w:val="0"/>
                <w:sz w:val="24"/>
                <w:szCs w:val="24"/>
                <w:highlight w:val="none"/>
              </w:rPr>
            </w:pPr>
            <w:r>
              <w:rPr>
                <w:rFonts w:hint="eastAsia"/>
                <w:kern w:val="0"/>
                <w:sz w:val="24"/>
                <w:szCs w:val="24"/>
                <w:highlight w:val="none"/>
              </w:rPr>
              <w:t>实施农机购置与应用补贴；</w:t>
            </w:r>
            <w:r>
              <w:rPr>
                <w:rFonts w:hint="eastAsia" w:ascii="Times New Roman" w:hAnsi="Times New Roman" w:cs="Times New Roman"/>
                <w:kern w:val="0"/>
                <w:sz w:val="24"/>
                <w:szCs w:val="24"/>
                <w:highlight w:val="none"/>
              </w:rPr>
              <w:t>开展集中连片养殖池塘标准化改造和尾水达标治理；发展现代渔业装备设施（水产品初加工和冷藏保鲜设施设备建设）；</w:t>
            </w:r>
            <w:r>
              <w:rPr>
                <w:rFonts w:hint="eastAsia"/>
                <w:kern w:val="0"/>
                <w:sz w:val="24"/>
                <w:szCs w:val="24"/>
                <w:highlight w:val="none"/>
              </w:rPr>
              <w:t>“菜篮子”稳产保供。</w:t>
            </w:r>
          </w:p>
        </w:tc>
      </w:tr>
      <w:tr w14:paraId="0A1A9517">
        <w:tblPrEx>
          <w:tblCellMar>
            <w:top w:w="0" w:type="dxa"/>
            <w:left w:w="108" w:type="dxa"/>
            <w:bottom w:w="0" w:type="dxa"/>
            <w:right w:w="108" w:type="dxa"/>
          </w:tblCellMar>
        </w:tblPrEx>
        <w:trPr>
          <w:trHeight w:val="453"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3E0CBB09">
            <w:pPr>
              <w:widowControl/>
              <w:jc w:val="center"/>
              <w:rPr>
                <w:kern w:val="0"/>
                <w:sz w:val="24"/>
                <w:szCs w:val="24"/>
              </w:rPr>
            </w:pPr>
            <w:r>
              <w:rPr>
                <w:rFonts w:hint="eastAsia"/>
                <w:kern w:val="0"/>
                <w:sz w:val="24"/>
                <w:szCs w:val="24"/>
              </w:rPr>
              <w:t>津南区</w:t>
            </w:r>
          </w:p>
        </w:tc>
        <w:tc>
          <w:tcPr>
            <w:tcW w:w="12378" w:type="dxa"/>
            <w:tcBorders>
              <w:top w:val="single" w:color="auto" w:sz="4" w:space="0"/>
              <w:left w:val="nil"/>
              <w:bottom w:val="single" w:color="auto" w:sz="4" w:space="0"/>
              <w:right w:val="single" w:color="auto" w:sz="4" w:space="0"/>
            </w:tcBorders>
            <w:noWrap w:val="0"/>
            <w:vAlign w:val="center"/>
          </w:tcPr>
          <w:p w14:paraId="7FBBC5D9">
            <w:pPr>
              <w:widowControl/>
              <w:jc w:val="left"/>
              <w:rPr>
                <w:rFonts w:hint="eastAsia"/>
                <w:kern w:val="0"/>
                <w:sz w:val="24"/>
                <w:szCs w:val="24"/>
              </w:rPr>
            </w:pPr>
            <w:r>
              <w:rPr>
                <w:rFonts w:hint="eastAsia"/>
                <w:kern w:val="0"/>
                <w:sz w:val="24"/>
                <w:szCs w:val="24"/>
              </w:rPr>
              <w:t>实施农机购置与应用补贴；创建优势特色产业集群（小站稻）、优势特色产业发展扶持项目</w:t>
            </w:r>
            <w:r>
              <w:rPr>
                <w:rFonts w:hint="eastAsia"/>
                <w:kern w:val="0"/>
                <w:sz w:val="24"/>
                <w:szCs w:val="24"/>
                <w:lang w:eastAsia="zh-CN"/>
              </w:rPr>
              <w:t>（一般公共预算）</w:t>
            </w:r>
            <w:r>
              <w:rPr>
                <w:rFonts w:hint="eastAsia"/>
                <w:kern w:val="0"/>
                <w:sz w:val="24"/>
                <w:szCs w:val="24"/>
              </w:rPr>
              <w:t>、农民丰收</w:t>
            </w:r>
            <w:r>
              <w:rPr>
                <w:rFonts w:hint="eastAsia"/>
                <w:kern w:val="0"/>
                <w:sz w:val="24"/>
                <w:szCs w:val="24"/>
                <w:lang w:eastAsia="zh-CN"/>
              </w:rPr>
              <w:t>节</w:t>
            </w:r>
            <w:r>
              <w:rPr>
                <w:rFonts w:hint="eastAsia"/>
                <w:kern w:val="0"/>
                <w:sz w:val="24"/>
                <w:szCs w:val="24"/>
              </w:rPr>
              <w:t>；实施棉花</w:t>
            </w:r>
            <w:r>
              <w:rPr>
                <w:rFonts w:hint="eastAsia"/>
                <w:kern w:val="0"/>
                <w:sz w:val="24"/>
                <w:szCs w:val="24"/>
                <w:lang w:eastAsia="zh-CN"/>
              </w:rPr>
              <w:t>种植</w:t>
            </w:r>
            <w:r>
              <w:rPr>
                <w:rFonts w:hint="eastAsia"/>
                <w:kern w:val="0"/>
                <w:sz w:val="24"/>
                <w:szCs w:val="24"/>
              </w:rPr>
              <w:t>补贴；疫情期间抢种速生叶菜补贴。</w:t>
            </w:r>
          </w:p>
        </w:tc>
      </w:tr>
      <w:tr w14:paraId="1A77076E">
        <w:tblPrEx>
          <w:tblCellMar>
            <w:top w:w="0" w:type="dxa"/>
            <w:left w:w="108" w:type="dxa"/>
            <w:bottom w:w="0" w:type="dxa"/>
            <w:right w:w="108" w:type="dxa"/>
          </w:tblCellMar>
        </w:tblPrEx>
        <w:trPr>
          <w:trHeight w:val="491"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58BDEFE8">
            <w:pPr>
              <w:widowControl/>
              <w:jc w:val="center"/>
              <w:rPr>
                <w:kern w:val="0"/>
                <w:sz w:val="24"/>
                <w:szCs w:val="24"/>
              </w:rPr>
            </w:pPr>
            <w:r>
              <w:rPr>
                <w:rFonts w:hint="eastAsia"/>
                <w:kern w:val="0"/>
                <w:sz w:val="24"/>
                <w:szCs w:val="24"/>
              </w:rPr>
              <w:t>西青区</w:t>
            </w:r>
          </w:p>
        </w:tc>
        <w:tc>
          <w:tcPr>
            <w:tcW w:w="12378" w:type="dxa"/>
            <w:tcBorders>
              <w:top w:val="single" w:color="auto" w:sz="4" w:space="0"/>
              <w:left w:val="nil"/>
              <w:bottom w:val="single" w:color="auto" w:sz="4" w:space="0"/>
              <w:right w:val="single" w:color="auto" w:sz="4" w:space="0"/>
            </w:tcBorders>
            <w:noWrap w:val="0"/>
            <w:vAlign w:val="center"/>
          </w:tcPr>
          <w:p w14:paraId="5247C558">
            <w:pPr>
              <w:widowControl/>
              <w:jc w:val="left"/>
              <w:rPr>
                <w:rFonts w:hint="eastAsia"/>
                <w:kern w:val="0"/>
                <w:sz w:val="24"/>
                <w:szCs w:val="24"/>
              </w:rPr>
            </w:pPr>
            <w:r>
              <w:rPr>
                <w:rFonts w:hint="eastAsia"/>
                <w:kern w:val="0"/>
                <w:sz w:val="24"/>
                <w:szCs w:val="24"/>
              </w:rPr>
              <w:t>实施农机购置与应用补贴；创建优势特色产业集群（小站稻）；疫情期间抢种速生叶菜补贴；“菜篮子”稳产保供。</w:t>
            </w:r>
          </w:p>
        </w:tc>
      </w:tr>
      <w:tr w14:paraId="77D52ACF">
        <w:tblPrEx>
          <w:tblCellMar>
            <w:top w:w="0" w:type="dxa"/>
            <w:left w:w="108" w:type="dxa"/>
            <w:bottom w:w="0" w:type="dxa"/>
            <w:right w:w="108" w:type="dxa"/>
          </w:tblCellMar>
        </w:tblPrEx>
        <w:trPr>
          <w:trHeight w:val="69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71F5840">
            <w:pPr>
              <w:widowControl/>
              <w:jc w:val="center"/>
              <w:rPr>
                <w:rFonts w:hint="eastAsia"/>
                <w:kern w:val="0"/>
                <w:sz w:val="24"/>
                <w:szCs w:val="24"/>
              </w:rPr>
            </w:pPr>
            <w:r>
              <w:rPr>
                <w:rFonts w:hint="eastAsia"/>
                <w:kern w:val="0"/>
                <w:sz w:val="24"/>
                <w:szCs w:val="24"/>
              </w:rPr>
              <w:t>北辰</w:t>
            </w:r>
            <w:r>
              <w:rPr>
                <w:kern w:val="0"/>
                <w:sz w:val="24"/>
                <w:szCs w:val="24"/>
              </w:rPr>
              <w:t>区</w:t>
            </w:r>
          </w:p>
        </w:tc>
        <w:tc>
          <w:tcPr>
            <w:tcW w:w="12378" w:type="dxa"/>
            <w:tcBorders>
              <w:top w:val="single" w:color="auto" w:sz="4" w:space="0"/>
              <w:left w:val="nil"/>
              <w:bottom w:val="single" w:color="auto" w:sz="4" w:space="0"/>
              <w:right w:val="single" w:color="auto" w:sz="4" w:space="0"/>
            </w:tcBorders>
            <w:noWrap w:val="0"/>
            <w:vAlign w:val="center"/>
          </w:tcPr>
          <w:p w14:paraId="65AF1551">
            <w:pPr>
              <w:widowControl/>
              <w:jc w:val="left"/>
              <w:rPr>
                <w:rFonts w:hint="eastAsia"/>
                <w:kern w:val="0"/>
                <w:sz w:val="24"/>
                <w:szCs w:val="24"/>
              </w:rPr>
            </w:pPr>
            <w:r>
              <w:rPr>
                <w:rFonts w:hint="eastAsia"/>
                <w:kern w:val="0"/>
                <w:sz w:val="24"/>
                <w:szCs w:val="24"/>
              </w:rPr>
              <w:t>实施农机购置与应用补贴；支持符合条件的国家畜禽核心育种场、种公畜站、奶牛生产性能测定中心等开展种畜禽生产性能测定工作；实施生猪良种补贴；疫情期间抢种速生叶菜补贴；“菜篮子”稳产保供。</w:t>
            </w:r>
          </w:p>
        </w:tc>
      </w:tr>
      <w:tr w14:paraId="1618D3F8">
        <w:tblPrEx>
          <w:tblCellMar>
            <w:top w:w="0" w:type="dxa"/>
            <w:left w:w="108" w:type="dxa"/>
            <w:bottom w:w="0" w:type="dxa"/>
            <w:right w:w="108" w:type="dxa"/>
          </w:tblCellMar>
        </w:tblPrEx>
        <w:trPr>
          <w:trHeight w:val="84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4B760306">
            <w:pPr>
              <w:widowControl/>
              <w:jc w:val="center"/>
              <w:rPr>
                <w:kern w:val="0"/>
                <w:sz w:val="24"/>
                <w:szCs w:val="24"/>
              </w:rPr>
            </w:pPr>
            <w:r>
              <w:rPr>
                <w:rFonts w:hint="eastAsia"/>
                <w:kern w:val="0"/>
                <w:sz w:val="24"/>
                <w:szCs w:val="24"/>
              </w:rPr>
              <w:t>滨海</w:t>
            </w:r>
            <w:r>
              <w:rPr>
                <w:kern w:val="0"/>
                <w:sz w:val="24"/>
                <w:szCs w:val="24"/>
              </w:rPr>
              <w:t>新</w:t>
            </w:r>
            <w:r>
              <w:rPr>
                <w:rFonts w:hint="eastAsia"/>
                <w:kern w:val="0"/>
                <w:sz w:val="24"/>
                <w:szCs w:val="24"/>
              </w:rPr>
              <w:t>区</w:t>
            </w:r>
          </w:p>
        </w:tc>
        <w:tc>
          <w:tcPr>
            <w:tcW w:w="12378" w:type="dxa"/>
            <w:tcBorders>
              <w:top w:val="single" w:color="auto" w:sz="4" w:space="0"/>
              <w:left w:val="nil"/>
              <w:bottom w:val="single" w:color="auto" w:sz="4" w:space="0"/>
              <w:right w:val="single" w:color="auto" w:sz="4" w:space="0"/>
            </w:tcBorders>
            <w:noWrap w:val="0"/>
            <w:vAlign w:val="center"/>
          </w:tcPr>
          <w:p w14:paraId="6C5FA6A4">
            <w:pPr>
              <w:widowControl/>
              <w:jc w:val="left"/>
              <w:rPr>
                <w:rFonts w:hint="eastAsia"/>
                <w:kern w:val="0"/>
                <w:sz w:val="24"/>
                <w:szCs w:val="24"/>
                <w:highlight w:val="none"/>
              </w:rPr>
            </w:pPr>
            <w:r>
              <w:rPr>
                <w:rFonts w:hint="eastAsia"/>
                <w:kern w:val="0"/>
                <w:sz w:val="24"/>
                <w:szCs w:val="24"/>
                <w:highlight w:val="none"/>
              </w:rPr>
              <w:t>实施农机购置与应用补贴；支持符合条件的国家畜禽核心育种场、种公畜站、奶牛生产性能测定中心等开展种畜禽生产性能测定工作；优势特色产业发展扶持项目</w:t>
            </w:r>
            <w:r>
              <w:rPr>
                <w:rFonts w:hint="eastAsia"/>
                <w:kern w:val="0"/>
                <w:sz w:val="24"/>
                <w:szCs w:val="24"/>
                <w:highlight w:val="none"/>
                <w:lang w:eastAsia="zh-CN"/>
              </w:rPr>
              <w:t>（生猪种业项目）、</w:t>
            </w:r>
            <w:r>
              <w:rPr>
                <w:rFonts w:hint="eastAsia"/>
                <w:kern w:val="0"/>
                <w:sz w:val="24"/>
                <w:szCs w:val="24"/>
                <w:highlight w:val="none"/>
              </w:rPr>
              <w:t>优势特色产业发展扶持项目</w:t>
            </w:r>
            <w:r>
              <w:rPr>
                <w:rFonts w:hint="eastAsia"/>
                <w:kern w:val="0"/>
                <w:sz w:val="24"/>
                <w:szCs w:val="24"/>
                <w:highlight w:val="none"/>
                <w:lang w:eastAsia="zh-CN"/>
              </w:rPr>
              <w:t>（万头牧场粪尿资源化综合利用）</w:t>
            </w:r>
            <w:r>
              <w:rPr>
                <w:rFonts w:hint="eastAsia"/>
                <w:kern w:val="0"/>
                <w:sz w:val="24"/>
                <w:szCs w:val="24"/>
                <w:highlight w:val="none"/>
              </w:rPr>
              <w:t>；实施生猪良种补贴；</w:t>
            </w:r>
            <w:r>
              <w:rPr>
                <w:rFonts w:hint="eastAsia" w:ascii="Times New Roman" w:hAnsi="Times New Roman" w:cs="Times New Roman"/>
                <w:kern w:val="0"/>
                <w:sz w:val="24"/>
                <w:szCs w:val="24"/>
                <w:highlight w:val="none"/>
              </w:rPr>
              <w:t>开展集中连片养殖池塘标准化改造和尾水达标治理；发展现代渔业装备设施（远洋渔船和船上设施设备更新改造）；促进渔业资源调查养护和国际履约能力提升；</w:t>
            </w:r>
            <w:r>
              <w:rPr>
                <w:rFonts w:hint="eastAsia"/>
                <w:kern w:val="0"/>
                <w:sz w:val="24"/>
                <w:szCs w:val="24"/>
                <w:highlight w:val="none"/>
              </w:rPr>
              <w:t>实施棉花</w:t>
            </w:r>
            <w:r>
              <w:rPr>
                <w:rFonts w:hint="eastAsia"/>
                <w:kern w:val="0"/>
                <w:sz w:val="24"/>
                <w:szCs w:val="24"/>
                <w:highlight w:val="none"/>
                <w:lang w:eastAsia="zh-CN"/>
              </w:rPr>
              <w:t>种植</w:t>
            </w:r>
            <w:r>
              <w:rPr>
                <w:rFonts w:hint="eastAsia"/>
                <w:kern w:val="0"/>
                <w:sz w:val="24"/>
                <w:szCs w:val="24"/>
                <w:highlight w:val="none"/>
              </w:rPr>
              <w:t>补贴；疫情期间抢种速生叶菜补贴；“菜篮子”稳产保供。</w:t>
            </w:r>
          </w:p>
        </w:tc>
      </w:tr>
      <w:tr w14:paraId="57EC620C">
        <w:tblPrEx>
          <w:tblCellMar>
            <w:top w:w="0" w:type="dxa"/>
            <w:left w:w="108" w:type="dxa"/>
            <w:bottom w:w="0" w:type="dxa"/>
            <w:right w:w="108" w:type="dxa"/>
          </w:tblCellMar>
        </w:tblPrEx>
        <w:trPr>
          <w:trHeight w:val="412"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35C457AA">
            <w:pPr>
              <w:widowControl/>
              <w:jc w:val="center"/>
              <w:rPr>
                <w:rFonts w:hint="eastAsia"/>
                <w:kern w:val="0"/>
                <w:sz w:val="24"/>
                <w:szCs w:val="24"/>
              </w:rPr>
            </w:pPr>
            <w:r>
              <w:rPr>
                <w:rFonts w:hint="eastAsia"/>
                <w:kern w:val="0"/>
                <w:sz w:val="24"/>
                <w:szCs w:val="24"/>
              </w:rPr>
              <w:t>市级有关单位</w:t>
            </w:r>
          </w:p>
        </w:tc>
        <w:tc>
          <w:tcPr>
            <w:tcW w:w="12378" w:type="dxa"/>
            <w:tcBorders>
              <w:top w:val="single" w:color="auto" w:sz="4" w:space="0"/>
              <w:left w:val="nil"/>
              <w:bottom w:val="single" w:color="auto" w:sz="4" w:space="0"/>
              <w:right w:val="single" w:color="auto" w:sz="4" w:space="0"/>
            </w:tcBorders>
            <w:noWrap w:val="0"/>
            <w:vAlign w:val="center"/>
          </w:tcPr>
          <w:p w14:paraId="63FA842D">
            <w:pPr>
              <w:widowControl/>
              <w:jc w:val="left"/>
              <w:rPr>
                <w:rFonts w:hint="eastAsia"/>
                <w:kern w:val="0"/>
                <w:sz w:val="24"/>
                <w:szCs w:val="24"/>
                <w:highlight w:val="none"/>
              </w:rPr>
            </w:pPr>
            <w:r>
              <w:rPr>
                <w:rFonts w:hint="eastAsia"/>
                <w:kern w:val="0"/>
                <w:sz w:val="24"/>
                <w:szCs w:val="24"/>
                <w:highlight w:val="none"/>
              </w:rPr>
              <w:t>创建优势特色产业集群（小站稻）；</w:t>
            </w:r>
            <w:r>
              <w:rPr>
                <w:rFonts w:hint="eastAsia" w:ascii="Times New Roman" w:hAnsi="Times New Roman" w:cs="Times New Roman"/>
                <w:kern w:val="0"/>
                <w:sz w:val="24"/>
                <w:szCs w:val="24"/>
                <w:highlight w:val="none"/>
              </w:rPr>
              <w:t>促进渔业资源调查养护和国际履约能力提升。</w:t>
            </w:r>
          </w:p>
        </w:tc>
      </w:tr>
      <w:tr w14:paraId="46626850">
        <w:tblPrEx>
          <w:tblCellMar>
            <w:top w:w="0" w:type="dxa"/>
            <w:left w:w="108" w:type="dxa"/>
            <w:bottom w:w="0" w:type="dxa"/>
            <w:right w:w="108" w:type="dxa"/>
          </w:tblCellMar>
        </w:tblPrEx>
        <w:trPr>
          <w:trHeight w:val="67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4B052343">
            <w:pPr>
              <w:widowControl/>
              <w:jc w:val="center"/>
              <w:rPr>
                <w:rFonts w:hint="eastAsia"/>
                <w:kern w:val="0"/>
                <w:sz w:val="24"/>
                <w:szCs w:val="24"/>
              </w:rPr>
            </w:pPr>
            <w:r>
              <w:rPr>
                <w:rFonts w:hint="eastAsia"/>
                <w:kern w:val="0"/>
                <w:sz w:val="24"/>
                <w:szCs w:val="24"/>
              </w:rPr>
              <w:t>食品集团</w:t>
            </w:r>
          </w:p>
        </w:tc>
        <w:tc>
          <w:tcPr>
            <w:tcW w:w="12378" w:type="dxa"/>
            <w:tcBorders>
              <w:top w:val="single" w:color="auto" w:sz="4" w:space="0"/>
              <w:left w:val="nil"/>
              <w:bottom w:val="single" w:color="auto" w:sz="4" w:space="0"/>
              <w:right w:val="single" w:color="auto" w:sz="4" w:space="0"/>
            </w:tcBorders>
            <w:noWrap w:val="0"/>
            <w:vAlign w:val="center"/>
          </w:tcPr>
          <w:p w14:paraId="702D9992">
            <w:pPr>
              <w:widowControl/>
              <w:jc w:val="left"/>
              <w:rPr>
                <w:rFonts w:hint="eastAsia"/>
                <w:kern w:val="0"/>
                <w:sz w:val="24"/>
                <w:szCs w:val="24"/>
              </w:rPr>
            </w:pPr>
            <w:r>
              <w:rPr>
                <w:rFonts w:hint="eastAsia"/>
                <w:kern w:val="0"/>
                <w:sz w:val="24"/>
                <w:szCs w:val="24"/>
              </w:rPr>
              <w:t>支持符合条件的国家畜禽核心育种场、种公畜站、奶牛生产性能测定中心等开展种畜禽生产性能测定工作；创建优势特色产业集群（生猪）。</w:t>
            </w:r>
          </w:p>
        </w:tc>
      </w:tr>
      <w:tr w14:paraId="7DBCAB41">
        <w:tblPrEx>
          <w:tblCellMar>
            <w:top w:w="0" w:type="dxa"/>
            <w:left w:w="108" w:type="dxa"/>
            <w:bottom w:w="0" w:type="dxa"/>
            <w:right w:w="108" w:type="dxa"/>
          </w:tblCellMar>
        </w:tblPrEx>
        <w:trPr>
          <w:trHeight w:val="409"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6432137B">
            <w:pPr>
              <w:widowControl/>
              <w:jc w:val="center"/>
              <w:rPr>
                <w:rFonts w:hint="eastAsia"/>
                <w:kern w:val="0"/>
                <w:sz w:val="24"/>
                <w:szCs w:val="24"/>
              </w:rPr>
            </w:pPr>
            <w:r>
              <w:rPr>
                <w:rFonts w:hint="eastAsia"/>
                <w:kern w:val="0"/>
                <w:sz w:val="24"/>
                <w:szCs w:val="24"/>
              </w:rPr>
              <w:t>天津财经大学</w:t>
            </w:r>
          </w:p>
        </w:tc>
        <w:tc>
          <w:tcPr>
            <w:tcW w:w="12378" w:type="dxa"/>
            <w:tcBorders>
              <w:top w:val="single" w:color="auto" w:sz="4" w:space="0"/>
              <w:left w:val="nil"/>
              <w:bottom w:val="single" w:color="auto" w:sz="4" w:space="0"/>
              <w:right w:val="single" w:color="auto" w:sz="4" w:space="0"/>
            </w:tcBorders>
            <w:noWrap w:val="0"/>
            <w:vAlign w:val="center"/>
          </w:tcPr>
          <w:p w14:paraId="3FED1F45">
            <w:pPr>
              <w:widowControl/>
              <w:jc w:val="left"/>
              <w:rPr>
                <w:rFonts w:hint="eastAsia"/>
                <w:kern w:val="0"/>
                <w:sz w:val="24"/>
                <w:szCs w:val="24"/>
              </w:rPr>
            </w:pPr>
            <w:r>
              <w:rPr>
                <w:rFonts w:hint="eastAsia"/>
                <w:kern w:val="0"/>
                <w:sz w:val="24"/>
                <w:szCs w:val="24"/>
              </w:rPr>
              <w:t>创建优势特色产业集群（小站稻）。</w:t>
            </w:r>
          </w:p>
        </w:tc>
      </w:tr>
    </w:tbl>
    <w:p w14:paraId="3C493EF2">
      <w:pPr>
        <w:spacing w:line="600" w:lineRule="exact"/>
        <w:ind w:firstLine="646"/>
        <w:rPr>
          <w:rFonts w:eastAsia="黑体"/>
        </w:rPr>
        <w:sectPr>
          <w:footerReference r:id="rId11" w:type="default"/>
          <w:pgSz w:w="16838" w:h="11906" w:orient="landscape"/>
          <w:pgMar w:top="964" w:right="1361" w:bottom="964" w:left="1361" w:header="851" w:footer="851" w:gutter="0"/>
          <w:pgNumType w:fmt="decimal" w:start="31"/>
          <w:cols w:space="720" w:num="1"/>
          <w:docGrid w:linePitch="612" w:charSpace="-4740"/>
        </w:sectPr>
      </w:pPr>
    </w:p>
    <w:tbl>
      <w:tblPr>
        <w:tblStyle w:val="9"/>
        <w:tblW w:w="0" w:type="auto"/>
        <w:tblInd w:w="49" w:type="dxa"/>
        <w:tblLayout w:type="fixed"/>
        <w:tblCellMar>
          <w:top w:w="0" w:type="dxa"/>
          <w:left w:w="108" w:type="dxa"/>
          <w:bottom w:w="0" w:type="dxa"/>
          <w:right w:w="108" w:type="dxa"/>
        </w:tblCellMar>
      </w:tblPr>
      <w:tblGrid>
        <w:gridCol w:w="1747"/>
        <w:gridCol w:w="12321"/>
      </w:tblGrid>
      <w:tr w14:paraId="1C6C2B8C">
        <w:tblPrEx>
          <w:tblCellMar>
            <w:top w:w="0" w:type="dxa"/>
            <w:left w:w="108" w:type="dxa"/>
            <w:bottom w:w="0" w:type="dxa"/>
            <w:right w:w="108" w:type="dxa"/>
          </w:tblCellMar>
        </w:tblPrEx>
        <w:trPr>
          <w:trHeight w:val="647" w:hRule="atLeast"/>
        </w:trPr>
        <w:tc>
          <w:tcPr>
            <w:tcW w:w="14068" w:type="dxa"/>
            <w:gridSpan w:val="2"/>
            <w:tcBorders>
              <w:top w:val="nil"/>
              <w:left w:val="nil"/>
              <w:bottom w:val="nil"/>
              <w:right w:val="nil"/>
            </w:tcBorders>
            <w:noWrap w:val="0"/>
            <w:vAlign w:val="center"/>
          </w:tcPr>
          <w:p w14:paraId="0EBDD359">
            <w:pPr>
              <w:spacing w:line="520" w:lineRule="exact"/>
              <w:rPr>
                <w:rFonts w:ascii="黑体" w:hAnsi="黑体" w:eastAsia="黑体" w:cs="黑体"/>
                <w:lang w:val="en"/>
              </w:rPr>
            </w:pPr>
            <w:r>
              <w:rPr>
                <w:rFonts w:hint="eastAsia" w:ascii="黑体" w:hAnsi="黑体" w:eastAsia="黑体" w:cs="黑体"/>
              </w:rPr>
              <w:t>附件1</w:t>
            </w:r>
            <w:r>
              <w:rPr>
                <w:rFonts w:ascii="黑体" w:hAnsi="黑体" w:eastAsia="黑体" w:cs="黑体"/>
                <w:lang w:val="en"/>
              </w:rPr>
              <w:t>1</w:t>
            </w:r>
          </w:p>
          <w:p w14:paraId="296E1B37">
            <w:pPr>
              <w:pStyle w:val="5"/>
              <w:ind w:firstLine="880"/>
              <w:jc w:val="center"/>
            </w:pPr>
            <w:r>
              <w:rPr>
                <w:rFonts w:hint="eastAsia" w:ascii="方正小标宋简体" w:hAnsi="方正小标宋简体" w:eastAsia="方正小标宋简体" w:cs="方正小标宋简体"/>
                <w:sz w:val="44"/>
                <w:szCs w:val="44"/>
              </w:rPr>
              <w:t>农业经营主体能力提升资金项目任务清单</w:t>
            </w:r>
          </w:p>
        </w:tc>
      </w:tr>
      <w:tr w14:paraId="4221DCB0">
        <w:tblPrEx>
          <w:tblCellMar>
            <w:top w:w="0" w:type="dxa"/>
            <w:left w:w="108" w:type="dxa"/>
            <w:bottom w:w="0" w:type="dxa"/>
            <w:right w:w="108" w:type="dxa"/>
          </w:tblCellMar>
        </w:tblPrEx>
        <w:trPr>
          <w:trHeight w:val="400" w:hRule="atLeast"/>
        </w:trPr>
        <w:tc>
          <w:tcPr>
            <w:tcW w:w="1747" w:type="dxa"/>
            <w:tcBorders>
              <w:top w:val="single" w:color="auto" w:sz="4" w:space="0"/>
              <w:left w:val="single" w:color="auto" w:sz="4" w:space="0"/>
              <w:bottom w:val="nil"/>
              <w:right w:val="nil"/>
            </w:tcBorders>
            <w:noWrap w:val="0"/>
            <w:vAlign w:val="center"/>
          </w:tcPr>
          <w:p w14:paraId="44F6A0BB">
            <w:pPr>
              <w:widowControl/>
              <w:jc w:val="center"/>
              <w:rPr>
                <w:b/>
                <w:bCs/>
                <w:kern w:val="0"/>
                <w:sz w:val="24"/>
                <w:szCs w:val="24"/>
              </w:rPr>
            </w:pPr>
            <w:r>
              <w:rPr>
                <w:b/>
                <w:bCs/>
                <w:kern w:val="0"/>
                <w:sz w:val="24"/>
                <w:szCs w:val="24"/>
              </w:rPr>
              <w:t>各区</w:t>
            </w:r>
          </w:p>
        </w:tc>
        <w:tc>
          <w:tcPr>
            <w:tcW w:w="12321" w:type="dxa"/>
            <w:tcBorders>
              <w:top w:val="single" w:color="auto" w:sz="4" w:space="0"/>
              <w:left w:val="single" w:color="auto" w:sz="4" w:space="0"/>
              <w:bottom w:val="nil"/>
              <w:right w:val="single" w:color="auto" w:sz="4" w:space="0"/>
            </w:tcBorders>
            <w:noWrap w:val="0"/>
            <w:vAlign w:val="center"/>
          </w:tcPr>
          <w:p w14:paraId="6B4D10E1">
            <w:pPr>
              <w:widowControl/>
              <w:jc w:val="center"/>
              <w:rPr>
                <w:rFonts w:hint="eastAsia"/>
                <w:b/>
                <w:bCs/>
                <w:kern w:val="0"/>
                <w:sz w:val="24"/>
                <w:szCs w:val="24"/>
                <w:lang w:val="en"/>
              </w:rPr>
            </w:pPr>
            <w:r>
              <w:rPr>
                <w:rFonts w:hint="eastAsia"/>
                <w:b/>
                <w:bCs/>
                <w:kern w:val="0"/>
                <w:sz w:val="24"/>
                <w:szCs w:val="24"/>
                <w:lang w:val="en"/>
              </w:rPr>
              <w:t>任务清单</w:t>
            </w:r>
          </w:p>
        </w:tc>
      </w:tr>
      <w:tr w14:paraId="63E11A09">
        <w:tblPrEx>
          <w:tblCellMar>
            <w:top w:w="0" w:type="dxa"/>
            <w:left w:w="108" w:type="dxa"/>
            <w:bottom w:w="0" w:type="dxa"/>
            <w:right w:w="108" w:type="dxa"/>
          </w:tblCellMar>
        </w:tblPrEx>
        <w:trPr>
          <w:trHeight w:val="696"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3943244F">
            <w:pPr>
              <w:widowControl/>
              <w:jc w:val="center"/>
              <w:rPr>
                <w:kern w:val="0"/>
                <w:sz w:val="24"/>
                <w:szCs w:val="24"/>
              </w:rPr>
            </w:pPr>
            <w:r>
              <w:rPr>
                <w:kern w:val="0"/>
                <w:sz w:val="24"/>
                <w:szCs w:val="24"/>
              </w:rPr>
              <w:t>蓟州</w:t>
            </w:r>
            <w:r>
              <w:rPr>
                <w:rFonts w:hint="eastAsia"/>
                <w:kern w:val="0"/>
                <w:sz w:val="24"/>
                <w:szCs w:val="24"/>
              </w:rPr>
              <w:t>区</w:t>
            </w:r>
          </w:p>
        </w:tc>
        <w:tc>
          <w:tcPr>
            <w:tcW w:w="12321" w:type="dxa"/>
            <w:tcBorders>
              <w:top w:val="single" w:color="auto" w:sz="4" w:space="0"/>
              <w:left w:val="nil"/>
              <w:bottom w:val="single" w:color="auto" w:sz="4" w:space="0"/>
              <w:right w:val="single" w:color="auto" w:sz="4" w:space="0"/>
            </w:tcBorders>
            <w:noWrap w:val="0"/>
            <w:vAlign w:val="center"/>
          </w:tcPr>
          <w:p w14:paraId="1A7A1CC1">
            <w:pPr>
              <w:widowControl/>
              <w:spacing w:line="260" w:lineRule="exact"/>
              <w:jc w:val="left"/>
              <w:rPr>
                <w:rFonts w:hint="eastAsia"/>
                <w:kern w:val="0"/>
                <w:sz w:val="21"/>
                <w:szCs w:val="21"/>
              </w:rPr>
            </w:pPr>
            <w:r>
              <w:rPr>
                <w:rFonts w:hint="eastAsia"/>
                <w:kern w:val="0"/>
                <w:sz w:val="21"/>
                <w:szCs w:val="21"/>
              </w:rPr>
              <w:t>实施粮油规模种植主体单产提升行动；新型农业经营主体生产设施条件改善（服务型、仓储物流）；发展奶牛家庭牧场和奶农合作社；实施高素质农民培育、农村实用人才带头人培训；支持各类主体开展农业社会化服务；深化基层农技推广体系改革建设。</w:t>
            </w:r>
          </w:p>
        </w:tc>
      </w:tr>
      <w:tr w14:paraId="49568594">
        <w:tblPrEx>
          <w:tblCellMar>
            <w:top w:w="0" w:type="dxa"/>
            <w:left w:w="108" w:type="dxa"/>
            <w:bottom w:w="0" w:type="dxa"/>
            <w:right w:w="108" w:type="dxa"/>
          </w:tblCellMar>
        </w:tblPrEx>
        <w:trPr>
          <w:trHeight w:val="644" w:hRule="atLeast"/>
        </w:trPr>
        <w:tc>
          <w:tcPr>
            <w:tcW w:w="1747" w:type="dxa"/>
            <w:tcBorders>
              <w:top w:val="nil"/>
              <w:left w:val="single" w:color="auto" w:sz="4" w:space="0"/>
              <w:bottom w:val="single" w:color="auto" w:sz="4" w:space="0"/>
              <w:right w:val="single" w:color="auto" w:sz="4" w:space="0"/>
            </w:tcBorders>
            <w:noWrap w:val="0"/>
            <w:vAlign w:val="center"/>
          </w:tcPr>
          <w:p w14:paraId="21794C25">
            <w:pPr>
              <w:widowControl/>
              <w:jc w:val="center"/>
              <w:rPr>
                <w:kern w:val="0"/>
                <w:sz w:val="24"/>
                <w:szCs w:val="24"/>
              </w:rPr>
            </w:pPr>
            <w:r>
              <w:rPr>
                <w:kern w:val="0"/>
                <w:sz w:val="24"/>
                <w:szCs w:val="24"/>
              </w:rPr>
              <w:t>宝坻</w:t>
            </w:r>
            <w:r>
              <w:rPr>
                <w:rFonts w:hint="eastAsia"/>
                <w:kern w:val="0"/>
                <w:sz w:val="24"/>
                <w:szCs w:val="24"/>
              </w:rPr>
              <w:t>区</w:t>
            </w:r>
          </w:p>
        </w:tc>
        <w:tc>
          <w:tcPr>
            <w:tcW w:w="12321" w:type="dxa"/>
            <w:tcBorders>
              <w:top w:val="nil"/>
              <w:left w:val="nil"/>
              <w:bottom w:val="single" w:color="auto" w:sz="4" w:space="0"/>
              <w:right w:val="single" w:color="auto" w:sz="4" w:space="0"/>
            </w:tcBorders>
            <w:noWrap w:val="0"/>
            <w:vAlign w:val="center"/>
          </w:tcPr>
          <w:p w14:paraId="62F3A95E">
            <w:pPr>
              <w:widowControl/>
              <w:spacing w:line="260" w:lineRule="exact"/>
              <w:jc w:val="left"/>
              <w:rPr>
                <w:kern w:val="0"/>
                <w:sz w:val="21"/>
                <w:szCs w:val="21"/>
              </w:rPr>
            </w:pPr>
            <w:r>
              <w:rPr>
                <w:rFonts w:hint="eastAsia"/>
                <w:kern w:val="0"/>
                <w:sz w:val="21"/>
                <w:szCs w:val="21"/>
              </w:rPr>
              <w:t>实施粮油规模种植主体单产提升行动；</w:t>
            </w:r>
            <w:r>
              <w:rPr>
                <w:kern w:val="0"/>
                <w:sz w:val="21"/>
                <w:szCs w:val="21"/>
                <w:lang w:val="en"/>
              </w:rPr>
              <w:t>新型农业经营主体生产设施条件改善</w:t>
            </w:r>
            <w:r>
              <w:rPr>
                <w:rFonts w:hint="eastAsia"/>
                <w:kern w:val="0"/>
                <w:sz w:val="21"/>
                <w:szCs w:val="21"/>
              </w:rPr>
              <w:t>（服务型、仓储物流）；发展奶牛家庭牧场和奶农合作社；实施高素质农民培育；支持各类主体开展农业社会化服务；深化基层农技推广体系改革建设。</w:t>
            </w:r>
          </w:p>
        </w:tc>
      </w:tr>
      <w:tr w14:paraId="47313DB7">
        <w:tblPrEx>
          <w:tblCellMar>
            <w:top w:w="0" w:type="dxa"/>
            <w:left w:w="108" w:type="dxa"/>
            <w:bottom w:w="0" w:type="dxa"/>
            <w:right w:w="108" w:type="dxa"/>
          </w:tblCellMar>
        </w:tblPrEx>
        <w:trPr>
          <w:trHeight w:val="612" w:hRule="atLeast"/>
        </w:trPr>
        <w:tc>
          <w:tcPr>
            <w:tcW w:w="1747" w:type="dxa"/>
            <w:tcBorders>
              <w:top w:val="nil"/>
              <w:left w:val="single" w:color="auto" w:sz="4" w:space="0"/>
              <w:bottom w:val="single" w:color="auto" w:sz="4" w:space="0"/>
              <w:right w:val="single" w:color="auto" w:sz="4" w:space="0"/>
            </w:tcBorders>
            <w:noWrap w:val="0"/>
            <w:vAlign w:val="center"/>
          </w:tcPr>
          <w:p w14:paraId="30998AF7">
            <w:pPr>
              <w:widowControl/>
              <w:jc w:val="center"/>
              <w:rPr>
                <w:kern w:val="0"/>
                <w:sz w:val="24"/>
                <w:szCs w:val="24"/>
              </w:rPr>
            </w:pPr>
            <w:r>
              <w:rPr>
                <w:kern w:val="0"/>
                <w:sz w:val="24"/>
                <w:szCs w:val="24"/>
              </w:rPr>
              <w:t>武清</w:t>
            </w:r>
            <w:r>
              <w:rPr>
                <w:rFonts w:hint="eastAsia"/>
                <w:kern w:val="0"/>
                <w:sz w:val="24"/>
                <w:szCs w:val="24"/>
              </w:rPr>
              <w:t>区</w:t>
            </w:r>
          </w:p>
        </w:tc>
        <w:tc>
          <w:tcPr>
            <w:tcW w:w="12321" w:type="dxa"/>
            <w:tcBorders>
              <w:top w:val="nil"/>
              <w:left w:val="nil"/>
              <w:bottom w:val="single" w:color="auto" w:sz="4" w:space="0"/>
              <w:right w:val="single" w:color="auto" w:sz="4" w:space="0"/>
            </w:tcBorders>
            <w:noWrap w:val="0"/>
            <w:vAlign w:val="center"/>
          </w:tcPr>
          <w:p w14:paraId="02FE678C">
            <w:pPr>
              <w:widowControl/>
              <w:spacing w:line="260" w:lineRule="exact"/>
              <w:jc w:val="left"/>
              <w:rPr>
                <w:kern w:val="0"/>
                <w:sz w:val="21"/>
                <w:szCs w:val="21"/>
              </w:rPr>
            </w:pPr>
            <w:r>
              <w:rPr>
                <w:rFonts w:hint="eastAsia"/>
                <w:kern w:val="0"/>
                <w:sz w:val="21"/>
                <w:szCs w:val="21"/>
              </w:rPr>
              <w:t>实施粮油规模种植主体单产提升行动；</w:t>
            </w:r>
            <w:r>
              <w:rPr>
                <w:kern w:val="0"/>
                <w:sz w:val="21"/>
                <w:szCs w:val="21"/>
                <w:lang w:val="en"/>
              </w:rPr>
              <w:t>新型农业经营主体生产设施条件改善</w:t>
            </w:r>
            <w:r>
              <w:rPr>
                <w:rFonts w:hint="eastAsia"/>
                <w:kern w:val="0"/>
                <w:sz w:val="21"/>
                <w:szCs w:val="21"/>
              </w:rPr>
              <w:t>（服务型、仓储物流）；实施高素质农民培育；支持各类主体开展农业社会化服务；深化基层农技推广体系改革建设。</w:t>
            </w:r>
          </w:p>
        </w:tc>
      </w:tr>
      <w:tr w14:paraId="68F97253">
        <w:tblPrEx>
          <w:tblCellMar>
            <w:top w:w="0" w:type="dxa"/>
            <w:left w:w="108" w:type="dxa"/>
            <w:bottom w:w="0" w:type="dxa"/>
            <w:right w:w="108" w:type="dxa"/>
          </w:tblCellMar>
        </w:tblPrEx>
        <w:trPr>
          <w:trHeight w:val="681" w:hRule="atLeast"/>
        </w:trPr>
        <w:tc>
          <w:tcPr>
            <w:tcW w:w="1747" w:type="dxa"/>
            <w:tcBorders>
              <w:top w:val="nil"/>
              <w:left w:val="single" w:color="auto" w:sz="4" w:space="0"/>
              <w:bottom w:val="single" w:color="auto" w:sz="4" w:space="0"/>
              <w:right w:val="single" w:color="auto" w:sz="4" w:space="0"/>
            </w:tcBorders>
            <w:noWrap w:val="0"/>
            <w:vAlign w:val="center"/>
          </w:tcPr>
          <w:p w14:paraId="65E7A5B9">
            <w:pPr>
              <w:widowControl/>
              <w:jc w:val="center"/>
              <w:rPr>
                <w:kern w:val="0"/>
                <w:sz w:val="24"/>
                <w:szCs w:val="24"/>
              </w:rPr>
            </w:pPr>
            <w:r>
              <w:rPr>
                <w:kern w:val="0"/>
                <w:sz w:val="24"/>
                <w:szCs w:val="24"/>
              </w:rPr>
              <w:t>宁河</w:t>
            </w:r>
            <w:r>
              <w:rPr>
                <w:rFonts w:hint="eastAsia"/>
                <w:kern w:val="0"/>
                <w:sz w:val="24"/>
                <w:szCs w:val="24"/>
              </w:rPr>
              <w:t>区</w:t>
            </w:r>
          </w:p>
        </w:tc>
        <w:tc>
          <w:tcPr>
            <w:tcW w:w="12321" w:type="dxa"/>
            <w:tcBorders>
              <w:top w:val="nil"/>
              <w:left w:val="nil"/>
              <w:bottom w:val="single" w:color="auto" w:sz="4" w:space="0"/>
              <w:right w:val="single" w:color="auto" w:sz="4" w:space="0"/>
            </w:tcBorders>
            <w:noWrap w:val="0"/>
            <w:vAlign w:val="center"/>
          </w:tcPr>
          <w:p w14:paraId="52684407">
            <w:pPr>
              <w:widowControl/>
              <w:spacing w:line="260" w:lineRule="exact"/>
              <w:jc w:val="left"/>
              <w:rPr>
                <w:kern w:val="0"/>
                <w:sz w:val="21"/>
                <w:szCs w:val="21"/>
              </w:rPr>
            </w:pPr>
            <w:r>
              <w:rPr>
                <w:rFonts w:hint="eastAsia"/>
                <w:kern w:val="0"/>
                <w:sz w:val="21"/>
                <w:szCs w:val="21"/>
              </w:rPr>
              <w:t>实施粮油规模种植主体单产提升行动；</w:t>
            </w:r>
            <w:r>
              <w:rPr>
                <w:kern w:val="0"/>
                <w:sz w:val="21"/>
                <w:szCs w:val="21"/>
                <w:lang w:val="en"/>
              </w:rPr>
              <w:t>新型农业经营主体生产设施条件改善</w:t>
            </w:r>
            <w:r>
              <w:rPr>
                <w:rFonts w:hint="eastAsia"/>
                <w:kern w:val="0"/>
                <w:sz w:val="21"/>
                <w:szCs w:val="21"/>
              </w:rPr>
              <w:t>（服务型、仓储物流）；发展奶牛家庭牧场和奶农合作社；实施高素质农民培育；支持各类主体开展农业社会化服务；深化基层农技推广体系改革建设。</w:t>
            </w:r>
          </w:p>
        </w:tc>
      </w:tr>
      <w:tr w14:paraId="3678EAAE">
        <w:tblPrEx>
          <w:tblCellMar>
            <w:top w:w="0" w:type="dxa"/>
            <w:left w:w="108" w:type="dxa"/>
            <w:bottom w:w="0" w:type="dxa"/>
            <w:right w:w="108" w:type="dxa"/>
          </w:tblCellMar>
        </w:tblPrEx>
        <w:trPr>
          <w:trHeight w:val="678" w:hRule="atLeast"/>
        </w:trPr>
        <w:tc>
          <w:tcPr>
            <w:tcW w:w="1747" w:type="dxa"/>
            <w:tcBorders>
              <w:top w:val="nil"/>
              <w:left w:val="single" w:color="auto" w:sz="4" w:space="0"/>
              <w:bottom w:val="single" w:color="auto" w:sz="4" w:space="0"/>
              <w:right w:val="single" w:color="auto" w:sz="4" w:space="0"/>
            </w:tcBorders>
            <w:noWrap w:val="0"/>
            <w:vAlign w:val="center"/>
          </w:tcPr>
          <w:p w14:paraId="4A976105">
            <w:pPr>
              <w:widowControl/>
              <w:jc w:val="center"/>
              <w:rPr>
                <w:rFonts w:hint="eastAsia"/>
                <w:kern w:val="0"/>
                <w:sz w:val="24"/>
                <w:szCs w:val="24"/>
              </w:rPr>
            </w:pPr>
            <w:r>
              <w:rPr>
                <w:kern w:val="0"/>
                <w:sz w:val="24"/>
                <w:szCs w:val="24"/>
              </w:rPr>
              <w:t>静海</w:t>
            </w:r>
            <w:r>
              <w:rPr>
                <w:rFonts w:hint="eastAsia"/>
                <w:kern w:val="0"/>
                <w:sz w:val="24"/>
                <w:szCs w:val="24"/>
              </w:rPr>
              <w:t>区</w:t>
            </w:r>
          </w:p>
        </w:tc>
        <w:tc>
          <w:tcPr>
            <w:tcW w:w="12321" w:type="dxa"/>
            <w:tcBorders>
              <w:top w:val="nil"/>
              <w:left w:val="nil"/>
              <w:bottom w:val="single" w:color="auto" w:sz="4" w:space="0"/>
              <w:right w:val="single" w:color="auto" w:sz="4" w:space="0"/>
            </w:tcBorders>
            <w:noWrap w:val="0"/>
            <w:vAlign w:val="center"/>
          </w:tcPr>
          <w:p w14:paraId="4D7EE5B0">
            <w:pPr>
              <w:widowControl/>
              <w:spacing w:line="260" w:lineRule="exact"/>
              <w:jc w:val="left"/>
              <w:rPr>
                <w:kern w:val="0"/>
                <w:sz w:val="21"/>
                <w:szCs w:val="21"/>
              </w:rPr>
            </w:pPr>
            <w:r>
              <w:rPr>
                <w:rFonts w:hint="eastAsia"/>
                <w:kern w:val="0"/>
                <w:sz w:val="21"/>
                <w:szCs w:val="21"/>
              </w:rPr>
              <w:t>实施粮油规模种植主体单产提升行动；</w:t>
            </w:r>
            <w:r>
              <w:rPr>
                <w:kern w:val="0"/>
                <w:sz w:val="21"/>
                <w:szCs w:val="21"/>
                <w:lang w:val="en"/>
              </w:rPr>
              <w:t>新型农业经营主体生产设施条件改善</w:t>
            </w:r>
            <w:r>
              <w:rPr>
                <w:rFonts w:hint="eastAsia"/>
                <w:kern w:val="0"/>
                <w:sz w:val="21"/>
                <w:szCs w:val="21"/>
              </w:rPr>
              <w:t>（服务型、仓储物流）；发展奶牛家庭牧场和奶农合作社；实施高素质农民培育；支持各类主体开展农业社会化服务；深化基层农技推广体系改革建设。</w:t>
            </w:r>
          </w:p>
        </w:tc>
      </w:tr>
      <w:tr w14:paraId="02AA2E13">
        <w:tblPrEx>
          <w:tblCellMar>
            <w:top w:w="0" w:type="dxa"/>
            <w:left w:w="108" w:type="dxa"/>
            <w:bottom w:w="0" w:type="dxa"/>
            <w:right w:w="108" w:type="dxa"/>
          </w:tblCellMar>
        </w:tblPrEx>
        <w:trPr>
          <w:trHeight w:val="714" w:hRule="atLeast"/>
        </w:trPr>
        <w:tc>
          <w:tcPr>
            <w:tcW w:w="1747" w:type="dxa"/>
            <w:tcBorders>
              <w:top w:val="single" w:color="auto" w:sz="4" w:space="0"/>
              <w:left w:val="single" w:color="auto" w:sz="4" w:space="0"/>
              <w:bottom w:val="nil"/>
              <w:right w:val="nil"/>
            </w:tcBorders>
            <w:noWrap w:val="0"/>
            <w:vAlign w:val="center"/>
          </w:tcPr>
          <w:p w14:paraId="61F33E41">
            <w:pPr>
              <w:widowControl/>
              <w:jc w:val="center"/>
              <w:rPr>
                <w:bCs/>
                <w:kern w:val="0"/>
                <w:sz w:val="24"/>
                <w:szCs w:val="24"/>
              </w:rPr>
            </w:pPr>
            <w:r>
              <w:rPr>
                <w:bCs/>
                <w:kern w:val="0"/>
                <w:sz w:val="24"/>
                <w:szCs w:val="24"/>
              </w:rPr>
              <w:t>东丽</w:t>
            </w:r>
            <w:r>
              <w:rPr>
                <w:rFonts w:hint="eastAsia"/>
                <w:bCs/>
                <w:kern w:val="0"/>
                <w:sz w:val="24"/>
                <w:szCs w:val="24"/>
              </w:rPr>
              <w:t>区</w:t>
            </w:r>
          </w:p>
        </w:tc>
        <w:tc>
          <w:tcPr>
            <w:tcW w:w="12321" w:type="dxa"/>
            <w:tcBorders>
              <w:top w:val="single" w:color="auto" w:sz="4" w:space="0"/>
              <w:left w:val="single" w:color="auto" w:sz="4" w:space="0"/>
              <w:bottom w:val="nil"/>
              <w:right w:val="single" w:color="auto" w:sz="4" w:space="0"/>
            </w:tcBorders>
            <w:noWrap w:val="0"/>
            <w:vAlign w:val="center"/>
          </w:tcPr>
          <w:p w14:paraId="712CF9F5">
            <w:pPr>
              <w:widowControl/>
              <w:spacing w:line="260" w:lineRule="exact"/>
              <w:jc w:val="left"/>
              <w:rPr>
                <w:bCs/>
                <w:kern w:val="0"/>
                <w:sz w:val="21"/>
                <w:szCs w:val="21"/>
              </w:rPr>
            </w:pPr>
            <w:r>
              <w:rPr>
                <w:rFonts w:hint="eastAsia"/>
                <w:kern w:val="0"/>
                <w:sz w:val="21"/>
                <w:szCs w:val="21"/>
              </w:rPr>
              <w:t>实施粮油规模种植主体单产提升行动；</w:t>
            </w:r>
            <w:r>
              <w:rPr>
                <w:kern w:val="0"/>
                <w:sz w:val="21"/>
                <w:szCs w:val="21"/>
                <w:lang w:val="en"/>
              </w:rPr>
              <w:t>新型农业经营主体生产设施条件改善</w:t>
            </w:r>
            <w:r>
              <w:rPr>
                <w:rFonts w:hint="eastAsia"/>
                <w:kern w:val="0"/>
                <w:sz w:val="21"/>
                <w:szCs w:val="21"/>
              </w:rPr>
              <w:t>（服务型）；发展奶牛家庭牧场和奶农合作社；实施高素质农民培育；支持各类主体开展农业社会化服务；深化基层农技推广体系改革建设。</w:t>
            </w:r>
          </w:p>
        </w:tc>
      </w:tr>
      <w:tr w14:paraId="580BE8E6">
        <w:tblPrEx>
          <w:tblCellMar>
            <w:top w:w="0" w:type="dxa"/>
            <w:left w:w="108" w:type="dxa"/>
            <w:bottom w:w="0" w:type="dxa"/>
            <w:right w:w="108" w:type="dxa"/>
          </w:tblCellMar>
        </w:tblPrEx>
        <w:trPr>
          <w:trHeight w:val="480"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0F4E5807">
            <w:pPr>
              <w:widowControl/>
              <w:jc w:val="center"/>
              <w:rPr>
                <w:kern w:val="0"/>
                <w:sz w:val="24"/>
                <w:szCs w:val="24"/>
              </w:rPr>
            </w:pPr>
            <w:r>
              <w:rPr>
                <w:kern w:val="0"/>
                <w:sz w:val="24"/>
                <w:szCs w:val="24"/>
              </w:rPr>
              <w:t>津南</w:t>
            </w:r>
            <w:r>
              <w:rPr>
                <w:rFonts w:hint="eastAsia"/>
                <w:kern w:val="0"/>
                <w:sz w:val="24"/>
                <w:szCs w:val="24"/>
              </w:rPr>
              <w:t>区</w:t>
            </w:r>
          </w:p>
        </w:tc>
        <w:tc>
          <w:tcPr>
            <w:tcW w:w="12321" w:type="dxa"/>
            <w:tcBorders>
              <w:top w:val="single" w:color="auto" w:sz="4" w:space="0"/>
              <w:left w:val="nil"/>
              <w:bottom w:val="single" w:color="auto" w:sz="4" w:space="0"/>
              <w:right w:val="single" w:color="auto" w:sz="4" w:space="0"/>
            </w:tcBorders>
            <w:noWrap w:val="0"/>
            <w:vAlign w:val="center"/>
          </w:tcPr>
          <w:p w14:paraId="64A3D3E1">
            <w:pPr>
              <w:widowControl/>
              <w:spacing w:line="260" w:lineRule="exact"/>
              <w:jc w:val="left"/>
              <w:rPr>
                <w:rFonts w:hint="eastAsia"/>
                <w:kern w:val="0"/>
                <w:sz w:val="21"/>
                <w:szCs w:val="21"/>
              </w:rPr>
            </w:pPr>
            <w:r>
              <w:rPr>
                <w:rFonts w:hint="eastAsia"/>
                <w:kern w:val="0"/>
                <w:sz w:val="21"/>
                <w:szCs w:val="21"/>
              </w:rPr>
              <w:t>实施粮油规模种植主体单产提升行动；</w:t>
            </w:r>
            <w:r>
              <w:rPr>
                <w:kern w:val="0"/>
                <w:sz w:val="21"/>
                <w:szCs w:val="21"/>
                <w:lang w:val="en"/>
              </w:rPr>
              <w:t>新型农业经营主体生产设施条件改善</w:t>
            </w:r>
            <w:r>
              <w:rPr>
                <w:rFonts w:hint="eastAsia"/>
                <w:kern w:val="0"/>
                <w:sz w:val="21"/>
                <w:szCs w:val="21"/>
              </w:rPr>
              <w:t>（仓储物流）；实施高素质农民培育；深化基层农技推广体系改革建设。</w:t>
            </w:r>
          </w:p>
        </w:tc>
      </w:tr>
      <w:tr w14:paraId="00A34519">
        <w:tblPrEx>
          <w:tblCellMar>
            <w:top w:w="0" w:type="dxa"/>
            <w:left w:w="108" w:type="dxa"/>
            <w:bottom w:w="0" w:type="dxa"/>
            <w:right w:w="108" w:type="dxa"/>
          </w:tblCellMar>
        </w:tblPrEx>
        <w:trPr>
          <w:trHeight w:val="438"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5FF3BD74">
            <w:pPr>
              <w:widowControl/>
              <w:jc w:val="center"/>
              <w:rPr>
                <w:kern w:val="0"/>
                <w:sz w:val="24"/>
                <w:szCs w:val="24"/>
              </w:rPr>
            </w:pPr>
            <w:r>
              <w:rPr>
                <w:kern w:val="0"/>
                <w:sz w:val="24"/>
                <w:szCs w:val="24"/>
              </w:rPr>
              <w:t>西青</w:t>
            </w:r>
            <w:r>
              <w:rPr>
                <w:rFonts w:hint="eastAsia"/>
                <w:kern w:val="0"/>
                <w:sz w:val="24"/>
                <w:szCs w:val="24"/>
              </w:rPr>
              <w:t>区</w:t>
            </w:r>
          </w:p>
        </w:tc>
        <w:tc>
          <w:tcPr>
            <w:tcW w:w="12321" w:type="dxa"/>
            <w:tcBorders>
              <w:top w:val="single" w:color="auto" w:sz="4" w:space="0"/>
              <w:left w:val="nil"/>
              <w:bottom w:val="single" w:color="auto" w:sz="4" w:space="0"/>
              <w:right w:val="single" w:color="auto" w:sz="4" w:space="0"/>
            </w:tcBorders>
            <w:noWrap w:val="0"/>
            <w:vAlign w:val="center"/>
          </w:tcPr>
          <w:p w14:paraId="1162F7CC">
            <w:pPr>
              <w:widowControl/>
              <w:spacing w:line="260" w:lineRule="exact"/>
              <w:jc w:val="left"/>
              <w:rPr>
                <w:kern w:val="0"/>
                <w:sz w:val="21"/>
                <w:szCs w:val="21"/>
              </w:rPr>
            </w:pPr>
            <w:r>
              <w:rPr>
                <w:rFonts w:hint="eastAsia"/>
                <w:kern w:val="0"/>
                <w:sz w:val="21"/>
                <w:szCs w:val="21"/>
              </w:rPr>
              <w:t>实施粮油规模种植主体单产提升行动；发展奶牛家庭牧场和奶农合作社；实施高素质农民培育；深化基层农技推广体系改革建设。</w:t>
            </w:r>
          </w:p>
        </w:tc>
      </w:tr>
      <w:tr w14:paraId="0E98092B">
        <w:tblPrEx>
          <w:tblCellMar>
            <w:top w:w="0" w:type="dxa"/>
            <w:left w:w="108" w:type="dxa"/>
            <w:bottom w:w="0" w:type="dxa"/>
            <w:right w:w="108" w:type="dxa"/>
          </w:tblCellMar>
        </w:tblPrEx>
        <w:trPr>
          <w:trHeight w:val="645"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456280F0">
            <w:pPr>
              <w:widowControl/>
              <w:jc w:val="center"/>
              <w:rPr>
                <w:kern w:val="0"/>
                <w:sz w:val="24"/>
                <w:szCs w:val="24"/>
              </w:rPr>
            </w:pPr>
            <w:r>
              <w:rPr>
                <w:kern w:val="0"/>
                <w:sz w:val="24"/>
                <w:szCs w:val="24"/>
              </w:rPr>
              <w:t>北辰</w:t>
            </w:r>
            <w:r>
              <w:rPr>
                <w:rFonts w:hint="eastAsia"/>
                <w:kern w:val="0"/>
                <w:sz w:val="24"/>
                <w:szCs w:val="24"/>
              </w:rPr>
              <w:t>区</w:t>
            </w:r>
          </w:p>
        </w:tc>
        <w:tc>
          <w:tcPr>
            <w:tcW w:w="12321" w:type="dxa"/>
            <w:tcBorders>
              <w:top w:val="single" w:color="auto" w:sz="4" w:space="0"/>
              <w:left w:val="nil"/>
              <w:bottom w:val="single" w:color="auto" w:sz="4" w:space="0"/>
              <w:right w:val="single" w:color="auto" w:sz="4" w:space="0"/>
            </w:tcBorders>
            <w:noWrap w:val="0"/>
            <w:vAlign w:val="center"/>
          </w:tcPr>
          <w:p w14:paraId="71924655">
            <w:pPr>
              <w:widowControl/>
              <w:spacing w:line="260" w:lineRule="exact"/>
              <w:jc w:val="left"/>
              <w:rPr>
                <w:kern w:val="0"/>
                <w:sz w:val="21"/>
                <w:szCs w:val="21"/>
              </w:rPr>
            </w:pPr>
            <w:r>
              <w:rPr>
                <w:rFonts w:hint="eastAsia"/>
                <w:kern w:val="0"/>
                <w:sz w:val="21"/>
                <w:szCs w:val="21"/>
              </w:rPr>
              <w:t>实施粮油规模种植主体单产提升行动；</w:t>
            </w:r>
            <w:r>
              <w:rPr>
                <w:kern w:val="0"/>
                <w:sz w:val="21"/>
                <w:szCs w:val="21"/>
                <w:lang w:val="en"/>
              </w:rPr>
              <w:t>新型农业经营主体生产设施条件改善</w:t>
            </w:r>
            <w:r>
              <w:rPr>
                <w:rFonts w:hint="eastAsia"/>
                <w:kern w:val="0"/>
                <w:sz w:val="21"/>
                <w:szCs w:val="21"/>
              </w:rPr>
              <w:t>（服务型、仓储物流）；实施高素质农民培育；支持各类主体开展农业社会化服务；深化基层农技推广体系改革建设。</w:t>
            </w:r>
          </w:p>
        </w:tc>
      </w:tr>
      <w:tr w14:paraId="46DE19B0">
        <w:tblPrEx>
          <w:tblCellMar>
            <w:top w:w="0" w:type="dxa"/>
            <w:left w:w="108" w:type="dxa"/>
            <w:bottom w:w="0" w:type="dxa"/>
            <w:right w:w="108" w:type="dxa"/>
          </w:tblCellMar>
        </w:tblPrEx>
        <w:trPr>
          <w:trHeight w:val="585"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7A748A3E">
            <w:pPr>
              <w:widowControl/>
              <w:jc w:val="center"/>
              <w:rPr>
                <w:kern w:val="0"/>
                <w:sz w:val="24"/>
                <w:szCs w:val="24"/>
              </w:rPr>
            </w:pPr>
            <w:r>
              <w:rPr>
                <w:kern w:val="0"/>
                <w:sz w:val="24"/>
                <w:szCs w:val="24"/>
              </w:rPr>
              <w:t>滨海新区</w:t>
            </w:r>
          </w:p>
        </w:tc>
        <w:tc>
          <w:tcPr>
            <w:tcW w:w="12321" w:type="dxa"/>
            <w:tcBorders>
              <w:top w:val="single" w:color="auto" w:sz="4" w:space="0"/>
              <w:left w:val="nil"/>
              <w:bottom w:val="single" w:color="auto" w:sz="4" w:space="0"/>
              <w:right w:val="single" w:color="auto" w:sz="4" w:space="0"/>
            </w:tcBorders>
            <w:noWrap w:val="0"/>
            <w:vAlign w:val="center"/>
          </w:tcPr>
          <w:p w14:paraId="1DC73E73">
            <w:pPr>
              <w:widowControl/>
              <w:spacing w:line="260" w:lineRule="exact"/>
              <w:jc w:val="left"/>
              <w:rPr>
                <w:rFonts w:hint="eastAsia"/>
                <w:kern w:val="0"/>
                <w:sz w:val="21"/>
                <w:szCs w:val="21"/>
              </w:rPr>
            </w:pPr>
            <w:r>
              <w:rPr>
                <w:rFonts w:hint="eastAsia"/>
                <w:kern w:val="0"/>
                <w:sz w:val="21"/>
                <w:szCs w:val="21"/>
              </w:rPr>
              <w:t>实施粮油规模种植主体单产提升行动；</w:t>
            </w:r>
            <w:r>
              <w:rPr>
                <w:kern w:val="0"/>
                <w:sz w:val="21"/>
                <w:szCs w:val="21"/>
                <w:lang w:val="en"/>
              </w:rPr>
              <w:t>新型农业经营主体生产设施条件改善</w:t>
            </w:r>
            <w:r>
              <w:rPr>
                <w:rFonts w:hint="eastAsia"/>
                <w:kern w:val="0"/>
                <w:sz w:val="21"/>
                <w:szCs w:val="21"/>
              </w:rPr>
              <w:t>（服务型、仓储物流）；发展奶牛家庭牧场和奶农合作社；实施高素质农民培育；支持各类主体开展农业社会化服务；深化基层农技推广体系改革建设。</w:t>
            </w:r>
          </w:p>
        </w:tc>
      </w:tr>
      <w:tr w14:paraId="42E6316B">
        <w:tblPrEx>
          <w:tblCellMar>
            <w:top w:w="0" w:type="dxa"/>
            <w:left w:w="108" w:type="dxa"/>
            <w:bottom w:w="0" w:type="dxa"/>
            <w:right w:w="108" w:type="dxa"/>
          </w:tblCellMar>
        </w:tblPrEx>
        <w:trPr>
          <w:trHeight w:val="489"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710E7214">
            <w:pPr>
              <w:widowControl/>
              <w:jc w:val="center"/>
              <w:rPr>
                <w:rFonts w:hint="eastAsia"/>
                <w:kern w:val="0"/>
                <w:sz w:val="24"/>
                <w:szCs w:val="24"/>
              </w:rPr>
            </w:pPr>
            <w:r>
              <w:rPr>
                <w:rFonts w:hint="eastAsia"/>
                <w:kern w:val="0"/>
                <w:sz w:val="24"/>
                <w:szCs w:val="24"/>
              </w:rPr>
              <w:t>市级有</w:t>
            </w:r>
            <w:r>
              <w:rPr>
                <w:kern w:val="0"/>
                <w:sz w:val="24"/>
                <w:szCs w:val="24"/>
              </w:rPr>
              <w:t>关单位</w:t>
            </w:r>
          </w:p>
        </w:tc>
        <w:tc>
          <w:tcPr>
            <w:tcW w:w="12321" w:type="dxa"/>
            <w:tcBorders>
              <w:top w:val="single" w:color="auto" w:sz="4" w:space="0"/>
              <w:left w:val="nil"/>
              <w:bottom w:val="single" w:color="auto" w:sz="4" w:space="0"/>
              <w:right w:val="single" w:color="auto" w:sz="4" w:space="0"/>
            </w:tcBorders>
            <w:noWrap w:val="0"/>
            <w:vAlign w:val="center"/>
          </w:tcPr>
          <w:p w14:paraId="447CC9B4">
            <w:pPr>
              <w:widowControl/>
              <w:spacing w:line="260" w:lineRule="exact"/>
              <w:jc w:val="left"/>
              <w:rPr>
                <w:rFonts w:hint="eastAsia"/>
                <w:kern w:val="0"/>
                <w:sz w:val="21"/>
                <w:szCs w:val="21"/>
              </w:rPr>
            </w:pPr>
            <w:r>
              <w:rPr>
                <w:rFonts w:hint="eastAsia"/>
                <w:kern w:val="0"/>
                <w:sz w:val="21"/>
                <w:szCs w:val="21"/>
              </w:rPr>
              <w:t>深化基层农技推广体系改革建设；对政策性农业信贷担保机构开展担保费用补助、业务奖补。</w:t>
            </w:r>
          </w:p>
        </w:tc>
      </w:tr>
      <w:tr w14:paraId="6D938307">
        <w:tblPrEx>
          <w:tblCellMar>
            <w:top w:w="0" w:type="dxa"/>
            <w:left w:w="108" w:type="dxa"/>
            <w:bottom w:w="0" w:type="dxa"/>
            <w:right w:w="108" w:type="dxa"/>
          </w:tblCellMar>
        </w:tblPrEx>
        <w:trPr>
          <w:trHeight w:val="457"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15FEBBA8">
            <w:pPr>
              <w:widowControl/>
              <w:jc w:val="center"/>
              <w:rPr>
                <w:rFonts w:hint="eastAsia"/>
                <w:kern w:val="0"/>
                <w:sz w:val="24"/>
                <w:szCs w:val="24"/>
              </w:rPr>
            </w:pPr>
            <w:r>
              <w:rPr>
                <w:rFonts w:hint="eastAsia"/>
                <w:kern w:val="0"/>
                <w:sz w:val="24"/>
                <w:szCs w:val="24"/>
              </w:rPr>
              <w:t>天津农学院</w:t>
            </w:r>
          </w:p>
        </w:tc>
        <w:tc>
          <w:tcPr>
            <w:tcW w:w="12321" w:type="dxa"/>
            <w:tcBorders>
              <w:top w:val="single" w:color="auto" w:sz="4" w:space="0"/>
              <w:left w:val="nil"/>
              <w:bottom w:val="single" w:color="auto" w:sz="4" w:space="0"/>
              <w:right w:val="single" w:color="auto" w:sz="4" w:space="0"/>
            </w:tcBorders>
            <w:noWrap w:val="0"/>
            <w:vAlign w:val="center"/>
          </w:tcPr>
          <w:p w14:paraId="2945BD0D">
            <w:pPr>
              <w:widowControl/>
              <w:spacing w:line="260" w:lineRule="exact"/>
              <w:jc w:val="left"/>
              <w:rPr>
                <w:rFonts w:hint="eastAsia"/>
                <w:kern w:val="0"/>
                <w:sz w:val="21"/>
                <w:szCs w:val="21"/>
              </w:rPr>
            </w:pPr>
            <w:r>
              <w:rPr>
                <w:rFonts w:hint="eastAsia"/>
                <w:kern w:val="0"/>
                <w:sz w:val="21"/>
                <w:szCs w:val="21"/>
              </w:rPr>
              <w:t>实施高素质农民培育、乡村产业振兴带头人培育“头雁”项目。</w:t>
            </w:r>
          </w:p>
        </w:tc>
      </w:tr>
    </w:tbl>
    <w:p w14:paraId="5A8238A9">
      <w:pPr>
        <w:spacing w:line="40" w:lineRule="exact"/>
        <w:sectPr>
          <w:footerReference r:id="rId12" w:type="default"/>
          <w:pgSz w:w="16838" w:h="11906" w:orient="landscape"/>
          <w:pgMar w:top="1134" w:right="1361" w:bottom="1134" w:left="1361" w:header="851" w:footer="851" w:gutter="0"/>
          <w:pgNumType w:fmt="decimal" w:start="33"/>
          <w:cols w:space="720" w:num="1"/>
          <w:docGrid w:linePitch="612" w:charSpace="-4740"/>
        </w:sectPr>
      </w:pPr>
    </w:p>
    <w:tbl>
      <w:tblPr>
        <w:tblStyle w:val="9"/>
        <w:tblW w:w="0" w:type="auto"/>
        <w:tblInd w:w="49" w:type="dxa"/>
        <w:tblLayout w:type="fixed"/>
        <w:tblCellMar>
          <w:top w:w="0" w:type="dxa"/>
          <w:left w:w="108" w:type="dxa"/>
          <w:bottom w:w="0" w:type="dxa"/>
          <w:right w:w="108" w:type="dxa"/>
        </w:tblCellMar>
      </w:tblPr>
      <w:tblGrid>
        <w:gridCol w:w="1747"/>
        <w:gridCol w:w="12321"/>
      </w:tblGrid>
      <w:tr w14:paraId="51AB2502">
        <w:tblPrEx>
          <w:tblCellMar>
            <w:top w:w="0" w:type="dxa"/>
            <w:left w:w="108" w:type="dxa"/>
            <w:bottom w:w="0" w:type="dxa"/>
            <w:right w:w="108" w:type="dxa"/>
          </w:tblCellMar>
        </w:tblPrEx>
        <w:trPr>
          <w:trHeight w:val="585" w:hRule="atLeast"/>
        </w:trPr>
        <w:tc>
          <w:tcPr>
            <w:tcW w:w="14068" w:type="dxa"/>
            <w:gridSpan w:val="2"/>
            <w:tcBorders>
              <w:top w:val="nil"/>
              <w:left w:val="nil"/>
              <w:bottom w:val="nil"/>
              <w:right w:val="nil"/>
            </w:tcBorders>
            <w:noWrap w:val="0"/>
            <w:vAlign w:val="center"/>
          </w:tcPr>
          <w:p w14:paraId="6E1E4500">
            <w:pPr>
              <w:spacing w:line="40" w:lineRule="exact"/>
            </w:pPr>
          </w:p>
          <w:p w14:paraId="3D9F0B31">
            <w:pPr>
              <w:spacing w:line="40" w:lineRule="exact"/>
            </w:pPr>
          </w:p>
          <w:p w14:paraId="3A706D91">
            <w:pPr>
              <w:spacing w:line="400" w:lineRule="exact"/>
              <w:rPr>
                <w:rFonts w:ascii="黑体" w:hAnsi="黑体" w:eastAsia="黑体" w:cs="黑体"/>
                <w:lang w:val="en"/>
              </w:rPr>
            </w:pPr>
            <w:r>
              <w:rPr>
                <w:rFonts w:hint="eastAsia" w:ascii="黑体" w:hAnsi="黑体" w:eastAsia="黑体" w:cs="黑体"/>
              </w:rPr>
              <w:t>附件1</w:t>
            </w:r>
            <w:r>
              <w:rPr>
                <w:rFonts w:ascii="黑体" w:hAnsi="黑体" w:eastAsia="黑体" w:cs="黑体"/>
                <w:lang w:val="en"/>
              </w:rPr>
              <w:t>2</w:t>
            </w:r>
          </w:p>
          <w:p w14:paraId="61AAF234">
            <w:pPr>
              <w:pStyle w:val="5"/>
              <w:spacing w:after="120" w:afterLines="50"/>
              <w:ind w:firstLine="0" w:firstLineChars="0"/>
              <w:jc w:val="center"/>
              <w:rPr>
                <w:rFonts w:hint="eastAsia"/>
              </w:rPr>
            </w:pPr>
            <w:r>
              <w:rPr>
                <w:rFonts w:hint="eastAsia" w:ascii="方正小标宋简体" w:hAnsi="方正小标宋简体" w:eastAsia="方正小标宋简体" w:cs="方正小标宋简体"/>
                <w:sz w:val="44"/>
                <w:szCs w:val="44"/>
              </w:rPr>
              <w:t>农业生态资源保护资金项目任务清单</w:t>
            </w:r>
          </w:p>
        </w:tc>
      </w:tr>
      <w:tr w14:paraId="69E1E217">
        <w:tblPrEx>
          <w:tblCellMar>
            <w:top w:w="0" w:type="dxa"/>
            <w:left w:w="108" w:type="dxa"/>
            <w:bottom w:w="0" w:type="dxa"/>
            <w:right w:w="108" w:type="dxa"/>
          </w:tblCellMar>
        </w:tblPrEx>
        <w:trPr>
          <w:trHeight w:val="603" w:hRule="atLeast"/>
        </w:trPr>
        <w:tc>
          <w:tcPr>
            <w:tcW w:w="1747" w:type="dxa"/>
            <w:tcBorders>
              <w:top w:val="single" w:color="auto" w:sz="4" w:space="0"/>
              <w:left w:val="single" w:color="auto" w:sz="4" w:space="0"/>
              <w:bottom w:val="nil"/>
              <w:right w:val="nil"/>
            </w:tcBorders>
            <w:noWrap w:val="0"/>
            <w:vAlign w:val="center"/>
          </w:tcPr>
          <w:p w14:paraId="4FDBFB00">
            <w:pPr>
              <w:widowControl/>
              <w:jc w:val="center"/>
              <w:rPr>
                <w:b/>
                <w:bCs/>
                <w:kern w:val="0"/>
                <w:sz w:val="24"/>
                <w:szCs w:val="24"/>
              </w:rPr>
            </w:pPr>
            <w:r>
              <w:rPr>
                <w:b/>
                <w:bCs/>
                <w:kern w:val="0"/>
                <w:sz w:val="24"/>
                <w:szCs w:val="24"/>
              </w:rPr>
              <w:t>各区</w:t>
            </w:r>
          </w:p>
        </w:tc>
        <w:tc>
          <w:tcPr>
            <w:tcW w:w="12321" w:type="dxa"/>
            <w:tcBorders>
              <w:top w:val="single" w:color="auto" w:sz="4" w:space="0"/>
              <w:left w:val="single" w:color="auto" w:sz="4" w:space="0"/>
              <w:bottom w:val="nil"/>
              <w:right w:val="single" w:color="auto" w:sz="4" w:space="0"/>
            </w:tcBorders>
            <w:noWrap w:val="0"/>
            <w:vAlign w:val="center"/>
          </w:tcPr>
          <w:p w14:paraId="148CAD13">
            <w:pPr>
              <w:widowControl/>
              <w:jc w:val="center"/>
              <w:rPr>
                <w:b/>
                <w:bCs/>
                <w:kern w:val="0"/>
                <w:sz w:val="24"/>
                <w:szCs w:val="24"/>
              </w:rPr>
            </w:pPr>
            <w:r>
              <w:rPr>
                <w:rFonts w:hint="eastAsia"/>
                <w:b/>
                <w:bCs/>
                <w:kern w:val="0"/>
                <w:sz w:val="24"/>
                <w:szCs w:val="24"/>
                <w:lang w:val="en"/>
              </w:rPr>
              <w:t>任务清单</w:t>
            </w:r>
          </w:p>
        </w:tc>
      </w:tr>
      <w:tr w14:paraId="7B7CBBC5">
        <w:tblPrEx>
          <w:tblCellMar>
            <w:top w:w="0" w:type="dxa"/>
            <w:left w:w="108" w:type="dxa"/>
            <w:bottom w:w="0" w:type="dxa"/>
            <w:right w:w="108" w:type="dxa"/>
          </w:tblCellMar>
        </w:tblPrEx>
        <w:trPr>
          <w:trHeight w:val="618"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726A07AD">
            <w:pPr>
              <w:widowControl/>
              <w:jc w:val="center"/>
              <w:rPr>
                <w:kern w:val="0"/>
                <w:sz w:val="24"/>
                <w:szCs w:val="24"/>
              </w:rPr>
            </w:pPr>
            <w:r>
              <w:rPr>
                <w:kern w:val="0"/>
                <w:sz w:val="24"/>
                <w:szCs w:val="24"/>
              </w:rPr>
              <w:t>蓟州</w:t>
            </w:r>
            <w:r>
              <w:rPr>
                <w:rFonts w:hint="eastAsia"/>
                <w:kern w:val="0"/>
                <w:sz w:val="24"/>
                <w:szCs w:val="24"/>
              </w:rPr>
              <w:t>区</w:t>
            </w:r>
          </w:p>
        </w:tc>
        <w:tc>
          <w:tcPr>
            <w:tcW w:w="12321" w:type="dxa"/>
            <w:tcBorders>
              <w:top w:val="single" w:color="auto" w:sz="4" w:space="0"/>
              <w:left w:val="nil"/>
              <w:bottom w:val="single" w:color="auto" w:sz="4" w:space="0"/>
              <w:right w:val="single" w:color="auto" w:sz="4" w:space="0"/>
            </w:tcBorders>
            <w:noWrap w:val="0"/>
            <w:vAlign w:val="center"/>
          </w:tcPr>
          <w:p w14:paraId="36D39DF9">
            <w:pPr>
              <w:widowControl/>
              <w:jc w:val="left"/>
              <w:rPr>
                <w:rFonts w:hint="eastAsia"/>
                <w:kern w:val="0"/>
                <w:sz w:val="24"/>
                <w:szCs w:val="24"/>
              </w:rPr>
            </w:pPr>
            <w:r>
              <w:rPr>
                <w:rFonts w:hint="eastAsia"/>
                <w:kern w:val="0"/>
                <w:sz w:val="24"/>
                <w:szCs w:val="24"/>
              </w:rPr>
              <w:t>促进农作物秸秆综合利用，实施农田残膜回收利用。</w:t>
            </w:r>
          </w:p>
        </w:tc>
      </w:tr>
      <w:tr w14:paraId="4571F5E7">
        <w:tblPrEx>
          <w:tblCellMar>
            <w:top w:w="0" w:type="dxa"/>
            <w:left w:w="108" w:type="dxa"/>
            <w:bottom w:w="0" w:type="dxa"/>
            <w:right w:w="108" w:type="dxa"/>
          </w:tblCellMar>
        </w:tblPrEx>
        <w:trPr>
          <w:trHeight w:val="630" w:hRule="atLeast"/>
        </w:trPr>
        <w:tc>
          <w:tcPr>
            <w:tcW w:w="1747" w:type="dxa"/>
            <w:tcBorders>
              <w:top w:val="nil"/>
              <w:left w:val="single" w:color="auto" w:sz="4" w:space="0"/>
              <w:bottom w:val="single" w:color="auto" w:sz="4" w:space="0"/>
              <w:right w:val="single" w:color="auto" w:sz="4" w:space="0"/>
            </w:tcBorders>
            <w:noWrap w:val="0"/>
            <w:vAlign w:val="center"/>
          </w:tcPr>
          <w:p w14:paraId="108F4968">
            <w:pPr>
              <w:widowControl/>
              <w:jc w:val="center"/>
              <w:rPr>
                <w:kern w:val="0"/>
                <w:sz w:val="24"/>
                <w:szCs w:val="24"/>
              </w:rPr>
            </w:pPr>
            <w:r>
              <w:rPr>
                <w:kern w:val="0"/>
                <w:sz w:val="24"/>
                <w:szCs w:val="24"/>
              </w:rPr>
              <w:t>宝坻</w:t>
            </w:r>
            <w:r>
              <w:rPr>
                <w:rFonts w:hint="eastAsia"/>
                <w:kern w:val="0"/>
                <w:sz w:val="24"/>
                <w:szCs w:val="24"/>
              </w:rPr>
              <w:t>区</w:t>
            </w:r>
          </w:p>
        </w:tc>
        <w:tc>
          <w:tcPr>
            <w:tcW w:w="12321" w:type="dxa"/>
            <w:tcBorders>
              <w:top w:val="nil"/>
              <w:left w:val="nil"/>
              <w:bottom w:val="single" w:color="auto" w:sz="4" w:space="0"/>
              <w:right w:val="single" w:color="auto" w:sz="4" w:space="0"/>
            </w:tcBorders>
            <w:noWrap w:val="0"/>
            <w:vAlign w:val="center"/>
          </w:tcPr>
          <w:p w14:paraId="48214AB6">
            <w:pPr>
              <w:widowControl/>
              <w:jc w:val="left"/>
              <w:rPr>
                <w:rFonts w:hint="eastAsia"/>
                <w:kern w:val="0"/>
                <w:sz w:val="24"/>
                <w:szCs w:val="24"/>
              </w:rPr>
            </w:pPr>
            <w:r>
              <w:rPr>
                <w:rFonts w:hint="eastAsia"/>
                <w:kern w:val="0"/>
                <w:sz w:val="24"/>
                <w:szCs w:val="24"/>
              </w:rPr>
              <w:t>促进农作物秸秆综合利用，实施农田残膜回收利用。</w:t>
            </w:r>
          </w:p>
        </w:tc>
      </w:tr>
      <w:tr w14:paraId="5DEF05DB">
        <w:tblPrEx>
          <w:tblCellMar>
            <w:top w:w="0" w:type="dxa"/>
            <w:left w:w="108" w:type="dxa"/>
            <w:bottom w:w="0" w:type="dxa"/>
            <w:right w:w="108" w:type="dxa"/>
          </w:tblCellMar>
        </w:tblPrEx>
        <w:trPr>
          <w:trHeight w:val="564" w:hRule="atLeast"/>
        </w:trPr>
        <w:tc>
          <w:tcPr>
            <w:tcW w:w="1747" w:type="dxa"/>
            <w:tcBorders>
              <w:top w:val="nil"/>
              <w:left w:val="single" w:color="auto" w:sz="4" w:space="0"/>
              <w:bottom w:val="single" w:color="auto" w:sz="4" w:space="0"/>
              <w:right w:val="single" w:color="auto" w:sz="4" w:space="0"/>
            </w:tcBorders>
            <w:noWrap w:val="0"/>
            <w:vAlign w:val="center"/>
          </w:tcPr>
          <w:p w14:paraId="4068913D">
            <w:pPr>
              <w:widowControl/>
              <w:jc w:val="center"/>
              <w:rPr>
                <w:kern w:val="0"/>
                <w:sz w:val="24"/>
                <w:szCs w:val="24"/>
              </w:rPr>
            </w:pPr>
            <w:r>
              <w:rPr>
                <w:kern w:val="0"/>
                <w:sz w:val="24"/>
                <w:szCs w:val="24"/>
              </w:rPr>
              <w:t>武清</w:t>
            </w:r>
            <w:r>
              <w:rPr>
                <w:rFonts w:hint="eastAsia"/>
                <w:kern w:val="0"/>
                <w:sz w:val="24"/>
                <w:szCs w:val="24"/>
              </w:rPr>
              <w:t>区</w:t>
            </w:r>
          </w:p>
        </w:tc>
        <w:tc>
          <w:tcPr>
            <w:tcW w:w="12321" w:type="dxa"/>
            <w:tcBorders>
              <w:top w:val="nil"/>
              <w:left w:val="nil"/>
              <w:bottom w:val="single" w:color="auto" w:sz="4" w:space="0"/>
              <w:right w:val="single" w:color="auto" w:sz="4" w:space="0"/>
            </w:tcBorders>
            <w:noWrap w:val="0"/>
            <w:vAlign w:val="center"/>
          </w:tcPr>
          <w:p w14:paraId="5E285C3D">
            <w:pPr>
              <w:widowControl/>
              <w:jc w:val="left"/>
              <w:rPr>
                <w:rFonts w:hint="eastAsia"/>
                <w:kern w:val="0"/>
                <w:sz w:val="24"/>
                <w:szCs w:val="24"/>
              </w:rPr>
            </w:pPr>
            <w:r>
              <w:rPr>
                <w:rFonts w:hint="eastAsia"/>
                <w:kern w:val="0"/>
                <w:sz w:val="24"/>
                <w:szCs w:val="24"/>
              </w:rPr>
              <w:t>促进农作物秸秆综合利用，实施农田残膜回收利用。</w:t>
            </w:r>
          </w:p>
        </w:tc>
      </w:tr>
      <w:tr w14:paraId="7726779C">
        <w:tblPrEx>
          <w:tblCellMar>
            <w:top w:w="0" w:type="dxa"/>
            <w:left w:w="108" w:type="dxa"/>
            <w:bottom w:w="0" w:type="dxa"/>
            <w:right w:w="108" w:type="dxa"/>
          </w:tblCellMar>
        </w:tblPrEx>
        <w:trPr>
          <w:trHeight w:val="644" w:hRule="atLeast"/>
        </w:trPr>
        <w:tc>
          <w:tcPr>
            <w:tcW w:w="1747" w:type="dxa"/>
            <w:tcBorders>
              <w:top w:val="nil"/>
              <w:left w:val="single" w:color="auto" w:sz="4" w:space="0"/>
              <w:bottom w:val="single" w:color="auto" w:sz="4" w:space="0"/>
              <w:right w:val="single" w:color="auto" w:sz="4" w:space="0"/>
            </w:tcBorders>
            <w:noWrap w:val="0"/>
            <w:vAlign w:val="center"/>
          </w:tcPr>
          <w:p w14:paraId="1B10E0D5">
            <w:pPr>
              <w:widowControl/>
              <w:jc w:val="center"/>
              <w:rPr>
                <w:kern w:val="0"/>
                <w:sz w:val="24"/>
                <w:szCs w:val="24"/>
              </w:rPr>
            </w:pPr>
            <w:r>
              <w:rPr>
                <w:kern w:val="0"/>
                <w:sz w:val="24"/>
                <w:szCs w:val="24"/>
              </w:rPr>
              <w:t>宁河</w:t>
            </w:r>
            <w:r>
              <w:rPr>
                <w:rFonts w:hint="eastAsia"/>
                <w:kern w:val="0"/>
                <w:sz w:val="24"/>
                <w:szCs w:val="24"/>
              </w:rPr>
              <w:t>区</w:t>
            </w:r>
          </w:p>
        </w:tc>
        <w:tc>
          <w:tcPr>
            <w:tcW w:w="12321" w:type="dxa"/>
            <w:tcBorders>
              <w:top w:val="nil"/>
              <w:left w:val="nil"/>
              <w:bottom w:val="single" w:color="auto" w:sz="4" w:space="0"/>
              <w:right w:val="single" w:color="auto" w:sz="4" w:space="0"/>
            </w:tcBorders>
            <w:noWrap w:val="0"/>
            <w:vAlign w:val="center"/>
          </w:tcPr>
          <w:p w14:paraId="6FD7EF51">
            <w:pPr>
              <w:widowControl/>
              <w:jc w:val="left"/>
              <w:rPr>
                <w:rFonts w:hint="eastAsia"/>
                <w:kern w:val="0"/>
                <w:sz w:val="24"/>
                <w:szCs w:val="24"/>
              </w:rPr>
            </w:pPr>
            <w:r>
              <w:rPr>
                <w:rFonts w:hint="eastAsia"/>
                <w:kern w:val="0"/>
                <w:sz w:val="24"/>
                <w:szCs w:val="24"/>
              </w:rPr>
              <w:t>促进农作物秸秆综合利用，实施农田残膜回收利用。</w:t>
            </w:r>
          </w:p>
        </w:tc>
      </w:tr>
      <w:tr w14:paraId="4F8CF849">
        <w:tblPrEx>
          <w:tblCellMar>
            <w:top w:w="0" w:type="dxa"/>
            <w:left w:w="108" w:type="dxa"/>
            <w:bottom w:w="0" w:type="dxa"/>
            <w:right w:w="108" w:type="dxa"/>
          </w:tblCellMar>
        </w:tblPrEx>
        <w:trPr>
          <w:trHeight w:val="627" w:hRule="atLeast"/>
        </w:trPr>
        <w:tc>
          <w:tcPr>
            <w:tcW w:w="1747" w:type="dxa"/>
            <w:tcBorders>
              <w:top w:val="nil"/>
              <w:left w:val="single" w:color="auto" w:sz="4" w:space="0"/>
              <w:bottom w:val="single" w:color="auto" w:sz="4" w:space="0"/>
              <w:right w:val="single" w:color="auto" w:sz="4" w:space="0"/>
            </w:tcBorders>
            <w:noWrap w:val="0"/>
            <w:vAlign w:val="center"/>
          </w:tcPr>
          <w:p w14:paraId="185A50D7">
            <w:pPr>
              <w:widowControl/>
              <w:jc w:val="center"/>
              <w:rPr>
                <w:kern w:val="0"/>
                <w:sz w:val="24"/>
                <w:szCs w:val="24"/>
              </w:rPr>
            </w:pPr>
            <w:r>
              <w:rPr>
                <w:kern w:val="0"/>
                <w:sz w:val="24"/>
                <w:szCs w:val="24"/>
              </w:rPr>
              <w:t>静海</w:t>
            </w:r>
            <w:r>
              <w:rPr>
                <w:rFonts w:hint="eastAsia"/>
                <w:kern w:val="0"/>
                <w:sz w:val="24"/>
                <w:szCs w:val="24"/>
              </w:rPr>
              <w:t>区</w:t>
            </w:r>
          </w:p>
        </w:tc>
        <w:tc>
          <w:tcPr>
            <w:tcW w:w="12321" w:type="dxa"/>
            <w:tcBorders>
              <w:top w:val="nil"/>
              <w:left w:val="nil"/>
              <w:bottom w:val="single" w:color="auto" w:sz="4" w:space="0"/>
              <w:right w:val="single" w:color="auto" w:sz="4" w:space="0"/>
            </w:tcBorders>
            <w:noWrap w:val="0"/>
            <w:vAlign w:val="center"/>
          </w:tcPr>
          <w:p w14:paraId="0EDF7606">
            <w:pPr>
              <w:widowControl/>
              <w:jc w:val="left"/>
              <w:rPr>
                <w:rFonts w:hint="eastAsia"/>
                <w:kern w:val="0"/>
                <w:sz w:val="24"/>
                <w:szCs w:val="24"/>
              </w:rPr>
            </w:pPr>
            <w:r>
              <w:rPr>
                <w:rFonts w:hint="eastAsia"/>
                <w:kern w:val="0"/>
                <w:sz w:val="24"/>
                <w:szCs w:val="24"/>
              </w:rPr>
              <w:t>促进农作物秸秆综合利用，实施农田残膜回收利用。</w:t>
            </w:r>
          </w:p>
        </w:tc>
      </w:tr>
      <w:tr w14:paraId="4DF6E732">
        <w:tblPrEx>
          <w:tblCellMar>
            <w:top w:w="0" w:type="dxa"/>
            <w:left w:w="108" w:type="dxa"/>
            <w:bottom w:w="0" w:type="dxa"/>
            <w:right w:w="108" w:type="dxa"/>
          </w:tblCellMar>
        </w:tblPrEx>
        <w:trPr>
          <w:trHeight w:val="615" w:hRule="atLeast"/>
        </w:trPr>
        <w:tc>
          <w:tcPr>
            <w:tcW w:w="1747" w:type="dxa"/>
            <w:tcBorders>
              <w:top w:val="single" w:color="auto" w:sz="4" w:space="0"/>
              <w:left w:val="single" w:color="auto" w:sz="4" w:space="0"/>
              <w:bottom w:val="nil"/>
              <w:right w:val="nil"/>
            </w:tcBorders>
            <w:noWrap w:val="0"/>
            <w:vAlign w:val="center"/>
          </w:tcPr>
          <w:p w14:paraId="465F600E">
            <w:pPr>
              <w:widowControl/>
              <w:jc w:val="center"/>
              <w:rPr>
                <w:bCs/>
                <w:kern w:val="0"/>
                <w:sz w:val="24"/>
                <w:szCs w:val="24"/>
              </w:rPr>
            </w:pPr>
            <w:r>
              <w:rPr>
                <w:bCs/>
                <w:kern w:val="0"/>
                <w:sz w:val="24"/>
                <w:szCs w:val="24"/>
              </w:rPr>
              <w:t>东丽</w:t>
            </w:r>
            <w:r>
              <w:rPr>
                <w:rFonts w:hint="eastAsia"/>
                <w:bCs/>
                <w:kern w:val="0"/>
                <w:sz w:val="24"/>
                <w:szCs w:val="24"/>
              </w:rPr>
              <w:t>区</w:t>
            </w:r>
          </w:p>
        </w:tc>
        <w:tc>
          <w:tcPr>
            <w:tcW w:w="12321" w:type="dxa"/>
            <w:tcBorders>
              <w:top w:val="single" w:color="auto" w:sz="4" w:space="0"/>
              <w:left w:val="single" w:color="auto" w:sz="4" w:space="0"/>
              <w:bottom w:val="nil"/>
              <w:right w:val="single" w:color="auto" w:sz="4" w:space="0"/>
            </w:tcBorders>
            <w:noWrap w:val="0"/>
            <w:vAlign w:val="center"/>
          </w:tcPr>
          <w:p w14:paraId="7B8C2471">
            <w:pPr>
              <w:widowControl/>
              <w:jc w:val="left"/>
              <w:rPr>
                <w:rFonts w:hint="eastAsia"/>
                <w:kern w:val="0"/>
                <w:sz w:val="24"/>
                <w:szCs w:val="24"/>
              </w:rPr>
            </w:pPr>
            <w:r>
              <w:rPr>
                <w:rFonts w:hint="eastAsia"/>
                <w:kern w:val="0"/>
                <w:sz w:val="24"/>
                <w:szCs w:val="24"/>
              </w:rPr>
              <w:t>促进农作物秸秆综合利用。</w:t>
            </w:r>
          </w:p>
        </w:tc>
      </w:tr>
      <w:tr w14:paraId="7332BDC2">
        <w:tblPrEx>
          <w:tblCellMar>
            <w:top w:w="0" w:type="dxa"/>
            <w:left w:w="108" w:type="dxa"/>
            <w:bottom w:w="0" w:type="dxa"/>
            <w:right w:w="108" w:type="dxa"/>
          </w:tblCellMar>
        </w:tblPrEx>
        <w:trPr>
          <w:trHeight w:val="667"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56FF61F5">
            <w:pPr>
              <w:widowControl/>
              <w:jc w:val="center"/>
              <w:rPr>
                <w:kern w:val="0"/>
                <w:sz w:val="24"/>
                <w:szCs w:val="24"/>
              </w:rPr>
            </w:pPr>
            <w:r>
              <w:rPr>
                <w:kern w:val="0"/>
                <w:sz w:val="24"/>
                <w:szCs w:val="24"/>
              </w:rPr>
              <w:t>津南</w:t>
            </w:r>
            <w:r>
              <w:rPr>
                <w:rFonts w:hint="eastAsia"/>
                <w:kern w:val="0"/>
                <w:sz w:val="24"/>
                <w:szCs w:val="24"/>
              </w:rPr>
              <w:t>区</w:t>
            </w:r>
          </w:p>
        </w:tc>
        <w:tc>
          <w:tcPr>
            <w:tcW w:w="12321" w:type="dxa"/>
            <w:tcBorders>
              <w:top w:val="single" w:color="auto" w:sz="4" w:space="0"/>
              <w:left w:val="nil"/>
              <w:bottom w:val="single" w:color="auto" w:sz="4" w:space="0"/>
              <w:right w:val="single" w:color="auto" w:sz="4" w:space="0"/>
            </w:tcBorders>
            <w:noWrap w:val="0"/>
            <w:vAlign w:val="center"/>
          </w:tcPr>
          <w:p w14:paraId="553779E5">
            <w:pPr>
              <w:widowControl/>
              <w:jc w:val="left"/>
              <w:rPr>
                <w:kern w:val="0"/>
                <w:sz w:val="24"/>
                <w:szCs w:val="24"/>
              </w:rPr>
            </w:pPr>
            <w:r>
              <w:rPr>
                <w:rFonts w:hint="eastAsia"/>
                <w:kern w:val="0"/>
                <w:sz w:val="24"/>
                <w:szCs w:val="24"/>
              </w:rPr>
              <w:t>促进农作物秸秆综合利用。</w:t>
            </w:r>
          </w:p>
        </w:tc>
      </w:tr>
      <w:tr w14:paraId="172DFCF5">
        <w:tblPrEx>
          <w:tblCellMar>
            <w:top w:w="0" w:type="dxa"/>
            <w:left w:w="108" w:type="dxa"/>
            <w:bottom w:w="0" w:type="dxa"/>
            <w:right w:w="108" w:type="dxa"/>
          </w:tblCellMar>
        </w:tblPrEx>
        <w:trPr>
          <w:trHeight w:val="639"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033BA95E">
            <w:pPr>
              <w:widowControl/>
              <w:jc w:val="center"/>
              <w:rPr>
                <w:kern w:val="0"/>
                <w:sz w:val="24"/>
                <w:szCs w:val="24"/>
              </w:rPr>
            </w:pPr>
            <w:r>
              <w:rPr>
                <w:kern w:val="0"/>
                <w:sz w:val="24"/>
                <w:szCs w:val="24"/>
              </w:rPr>
              <w:t>西青</w:t>
            </w:r>
            <w:r>
              <w:rPr>
                <w:rFonts w:hint="eastAsia"/>
                <w:kern w:val="0"/>
                <w:sz w:val="24"/>
                <w:szCs w:val="24"/>
              </w:rPr>
              <w:t>区</w:t>
            </w:r>
          </w:p>
        </w:tc>
        <w:tc>
          <w:tcPr>
            <w:tcW w:w="12321" w:type="dxa"/>
            <w:tcBorders>
              <w:top w:val="single" w:color="auto" w:sz="4" w:space="0"/>
              <w:left w:val="nil"/>
              <w:bottom w:val="single" w:color="auto" w:sz="4" w:space="0"/>
              <w:right w:val="single" w:color="auto" w:sz="4" w:space="0"/>
            </w:tcBorders>
            <w:noWrap w:val="0"/>
            <w:vAlign w:val="center"/>
          </w:tcPr>
          <w:p w14:paraId="1D3F4472">
            <w:pPr>
              <w:widowControl/>
              <w:jc w:val="left"/>
              <w:rPr>
                <w:kern w:val="0"/>
                <w:sz w:val="24"/>
                <w:szCs w:val="24"/>
              </w:rPr>
            </w:pPr>
            <w:r>
              <w:rPr>
                <w:rFonts w:hint="eastAsia"/>
                <w:kern w:val="0"/>
                <w:sz w:val="24"/>
                <w:szCs w:val="24"/>
              </w:rPr>
              <w:t>促进农作物秸秆综合利用。</w:t>
            </w:r>
          </w:p>
        </w:tc>
      </w:tr>
      <w:tr w14:paraId="160A234F">
        <w:tblPrEx>
          <w:tblCellMar>
            <w:top w:w="0" w:type="dxa"/>
            <w:left w:w="108" w:type="dxa"/>
            <w:bottom w:w="0" w:type="dxa"/>
            <w:right w:w="108" w:type="dxa"/>
          </w:tblCellMar>
        </w:tblPrEx>
        <w:trPr>
          <w:trHeight w:val="668"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16EA5976">
            <w:pPr>
              <w:widowControl/>
              <w:jc w:val="center"/>
              <w:rPr>
                <w:kern w:val="0"/>
                <w:sz w:val="24"/>
                <w:szCs w:val="24"/>
              </w:rPr>
            </w:pPr>
            <w:r>
              <w:rPr>
                <w:kern w:val="0"/>
                <w:sz w:val="24"/>
                <w:szCs w:val="24"/>
              </w:rPr>
              <w:t>北辰</w:t>
            </w:r>
            <w:r>
              <w:rPr>
                <w:rFonts w:hint="eastAsia"/>
                <w:kern w:val="0"/>
                <w:sz w:val="24"/>
                <w:szCs w:val="24"/>
              </w:rPr>
              <w:t>区</w:t>
            </w:r>
          </w:p>
        </w:tc>
        <w:tc>
          <w:tcPr>
            <w:tcW w:w="12321" w:type="dxa"/>
            <w:tcBorders>
              <w:top w:val="single" w:color="auto" w:sz="4" w:space="0"/>
              <w:left w:val="nil"/>
              <w:bottom w:val="single" w:color="auto" w:sz="4" w:space="0"/>
              <w:right w:val="single" w:color="auto" w:sz="4" w:space="0"/>
            </w:tcBorders>
            <w:noWrap w:val="0"/>
            <w:vAlign w:val="center"/>
          </w:tcPr>
          <w:p w14:paraId="141F618A">
            <w:pPr>
              <w:widowControl/>
              <w:jc w:val="left"/>
              <w:rPr>
                <w:kern w:val="0"/>
                <w:sz w:val="24"/>
                <w:szCs w:val="24"/>
              </w:rPr>
            </w:pPr>
            <w:r>
              <w:rPr>
                <w:rFonts w:hint="eastAsia"/>
                <w:kern w:val="0"/>
                <w:sz w:val="24"/>
                <w:szCs w:val="24"/>
              </w:rPr>
              <w:t>促进农作物秸秆综合利用。</w:t>
            </w:r>
          </w:p>
        </w:tc>
      </w:tr>
      <w:tr w14:paraId="766E784A">
        <w:tblPrEx>
          <w:tblCellMar>
            <w:top w:w="0" w:type="dxa"/>
            <w:left w:w="108" w:type="dxa"/>
            <w:bottom w:w="0" w:type="dxa"/>
            <w:right w:w="108" w:type="dxa"/>
          </w:tblCellMar>
        </w:tblPrEx>
        <w:trPr>
          <w:trHeight w:val="662"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2BD30462">
            <w:pPr>
              <w:widowControl/>
              <w:jc w:val="center"/>
              <w:rPr>
                <w:kern w:val="0"/>
                <w:sz w:val="24"/>
                <w:szCs w:val="24"/>
              </w:rPr>
            </w:pPr>
            <w:r>
              <w:rPr>
                <w:kern w:val="0"/>
                <w:sz w:val="24"/>
                <w:szCs w:val="24"/>
              </w:rPr>
              <w:t>滨海新区</w:t>
            </w:r>
          </w:p>
        </w:tc>
        <w:tc>
          <w:tcPr>
            <w:tcW w:w="12321" w:type="dxa"/>
            <w:tcBorders>
              <w:top w:val="single" w:color="auto" w:sz="4" w:space="0"/>
              <w:left w:val="nil"/>
              <w:bottom w:val="single" w:color="auto" w:sz="4" w:space="0"/>
              <w:right w:val="single" w:color="auto" w:sz="4" w:space="0"/>
            </w:tcBorders>
            <w:noWrap w:val="0"/>
            <w:vAlign w:val="center"/>
          </w:tcPr>
          <w:p w14:paraId="3339B908">
            <w:pPr>
              <w:widowControl/>
              <w:jc w:val="left"/>
              <w:rPr>
                <w:kern w:val="0"/>
                <w:sz w:val="24"/>
                <w:szCs w:val="24"/>
              </w:rPr>
            </w:pPr>
            <w:r>
              <w:rPr>
                <w:rFonts w:hint="eastAsia"/>
                <w:kern w:val="0"/>
                <w:sz w:val="24"/>
                <w:szCs w:val="24"/>
              </w:rPr>
              <w:t>促进农作物秸秆综合利用。</w:t>
            </w:r>
          </w:p>
        </w:tc>
      </w:tr>
      <w:tr w14:paraId="201C7D8E">
        <w:tblPrEx>
          <w:tblCellMar>
            <w:top w:w="0" w:type="dxa"/>
            <w:left w:w="108" w:type="dxa"/>
            <w:bottom w:w="0" w:type="dxa"/>
            <w:right w:w="108" w:type="dxa"/>
          </w:tblCellMar>
        </w:tblPrEx>
        <w:trPr>
          <w:trHeight w:val="662"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6382E7D0">
            <w:pPr>
              <w:widowControl/>
              <w:jc w:val="center"/>
              <w:rPr>
                <w:rFonts w:hint="eastAsia"/>
                <w:kern w:val="0"/>
                <w:sz w:val="24"/>
                <w:szCs w:val="24"/>
              </w:rPr>
            </w:pPr>
            <w:r>
              <w:rPr>
                <w:rFonts w:hint="eastAsia"/>
                <w:kern w:val="0"/>
                <w:sz w:val="24"/>
                <w:szCs w:val="24"/>
              </w:rPr>
              <w:t>市级有</w:t>
            </w:r>
            <w:r>
              <w:rPr>
                <w:kern w:val="0"/>
                <w:sz w:val="24"/>
                <w:szCs w:val="24"/>
              </w:rPr>
              <w:t>关单位</w:t>
            </w:r>
          </w:p>
        </w:tc>
        <w:tc>
          <w:tcPr>
            <w:tcW w:w="12321" w:type="dxa"/>
            <w:tcBorders>
              <w:top w:val="single" w:color="auto" w:sz="4" w:space="0"/>
              <w:left w:val="nil"/>
              <w:bottom w:val="single" w:color="auto" w:sz="4" w:space="0"/>
              <w:right w:val="single" w:color="auto" w:sz="4" w:space="0"/>
            </w:tcBorders>
            <w:noWrap w:val="0"/>
            <w:vAlign w:val="center"/>
          </w:tcPr>
          <w:p w14:paraId="325759E3">
            <w:pPr>
              <w:widowControl/>
              <w:jc w:val="left"/>
              <w:rPr>
                <w:kern w:val="0"/>
                <w:sz w:val="24"/>
                <w:szCs w:val="24"/>
              </w:rPr>
            </w:pPr>
            <w:r>
              <w:rPr>
                <w:rFonts w:hint="eastAsia"/>
                <w:kern w:val="0"/>
                <w:sz w:val="24"/>
                <w:szCs w:val="24"/>
              </w:rPr>
              <w:t>开展渔业增殖放流。</w:t>
            </w:r>
          </w:p>
        </w:tc>
      </w:tr>
    </w:tbl>
    <w:p w14:paraId="2B20E323">
      <w:pPr>
        <w:spacing w:line="520" w:lineRule="exact"/>
        <w:sectPr>
          <w:footerReference r:id="rId13" w:type="default"/>
          <w:pgSz w:w="16838" w:h="11906" w:orient="landscape"/>
          <w:pgMar w:top="1134" w:right="1361" w:bottom="1134" w:left="1361" w:header="851" w:footer="851" w:gutter="0"/>
          <w:pgNumType w:fmt="decimal" w:start="34"/>
          <w:cols w:space="720" w:num="1"/>
          <w:docGrid w:linePitch="612" w:charSpace="-4740"/>
        </w:sectPr>
      </w:pPr>
    </w:p>
    <w:tbl>
      <w:tblPr>
        <w:tblStyle w:val="9"/>
        <w:tblW w:w="0" w:type="auto"/>
        <w:tblInd w:w="108" w:type="dxa"/>
        <w:tblLayout w:type="fixed"/>
        <w:tblCellMar>
          <w:top w:w="0" w:type="dxa"/>
          <w:left w:w="108" w:type="dxa"/>
          <w:bottom w:w="0" w:type="dxa"/>
          <w:right w:w="108" w:type="dxa"/>
        </w:tblCellMar>
      </w:tblPr>
      <w:tblGrid>
        <w:gridCol w:w="1656"/>
        <w:gridCol w:w="12378"/>
      </w:tblGrid>
      <w:tr w14:paraId="70BF0429">
        <w:tblPrEx>
          <w:tblCellMar>
            <w:top w:w="0" w:type="dxa"/>
            <w:left w:w="108" w:type="dxa"/>
            <w:bottom w:w="0" w:type="dxa"/>
            <w:right w:w="108" w:type="dxa"/>
          </w:tblCellMar>
        </w:tblPrEx>
        <w:trPr>
          <w:trHeight w:val="585" w:hRule="atLeast"/>
        </w:trPr>
        <w:tc>
          <w:tcPr>
            <w:tcW w:w="14034" w:type="dxa"/>
            <w:gridSpan w:val="2"/>
            <w:tcBorders>
              <w:top w:val="nil"/>
              <w:left w:val="nil"/>
              <w:bottom w:val="nil"/>
              <w:right w:val="nil"/>
            </w:tcBorders>
            <w:noWrap w:val="0"/>
            <w:vAlign w:val="center"/>
          </w:tcPr>
          <w:p w14:paraId="6327D9FC">
            <w:pPr>
              <w:spacing w:line="520" w:lineRule="exact"/>
              <w:rPr>
                <w:rFonts w:ascii="黑体" w:hAnsi="黑体" w:eastAsia="黑体" w:cs="黑体"/>
                <w:lang w:val="en"/>
              </w:rPr>
            </w:pPr>
            <w:r>
              <w:rPr>
                <w:rFonts w:hint="eastAsia" w:ascii="黑体" w:hAnsi="黑体" w:eastAsia="黑体" w:cs="黑体"/>
              </w:rPr>
              <w:t>附件1</w:t>
            </w:r>
            <w:r>
              <w:rPr>
                <w:rFonts w:ascii="黑体" w:hAnsi="黑体" w:eastAsia="黑体" w:cs="黑体"/>
                <w:lang w:val="en"/>
              </w:rPr>
              <w:t>3</w:t>
            </w:r>
          </w:p>
          <w:p w14:paraId="6E8D855C">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农业防灾减灾和水利救灾资金项目任务清单</w:t>
            </w:r>
          </w:p>
          <w:p w14:paraId="65D28BFF">
            <w:pPr>
              <w:pStyle w:val="5"/>
              <w:ind w:firstLine="640"/>
              <w:rPr>
                <w:rFonts w:hint="eastAsia"/>
              </w:rPr>
            </w:pPr>
          </w:p>
        </w:tc>
      </w:tr>
      <w:tr w14:paraId="67055C09">
        <w:tblPrEx>
          <w:tblCellMar>
            <w:top w:w="0" w:type="dxa"/>
            <w:left w:w="108" w:type="dxa"/>
            <w:bottom w:w="0" w:type="dxa"/>
            <w:right w:w="108" w:type="dxa"/>
          </w:tblCellMar>
        </w:tblPrEx>
        <w:trPr>
          <w:trHeight w:val="569" w:hRule="atLeast"/>
        </w:trPr>
        <w:tc>
          <w:tcPr>
            <w:tcW w:w="1656" w:type="dxa"/>
            <w:tcBorders>
              <w:top w:val="single" w:color="auto" w:sz="4" w:space="0"/>
              <w:left w:val="single" w:color="auto" w:sz="4" w:space="0"/>
              <w:bottom w:val="single" w:color="auto" w:sz="4" w:space="0"/>
              <w:right w:val="nil"/>
            </w:tcBorders>
            <w:noWrap w:val="0"/>
            <w:vAlign w:val="center"/>
          </w:tcPr>
          <w:p w14:paraId="0AB6C525">
            <w:pPr>
              <w:widowControl/>
              <w:jc w:val="center"/>
              <w:rPr>
                <w:b/>
                <w:bCs/>
                <w:kern w:val="0"/>
                <w:sz w:val="24"/>
                <w:szCs w:val="24"/>
              </w:rPr>
            </w:pPr>
            <w:r>
              <w:rPr>
                <w:b/>
                <w:bCs/>
                <w:kern w:val="0"/>
                <w:sz w:val="24"/>
                <w:szCs w:val="24"/>
              </w:rPr>
              <w:t>各区</w:t>
            </w:r>
          </w:p>
        </w:tc>
        <w:tc>
          <w:tcPr>
            <w:tcW w:w="12378" w:type="dxa"/>
            <w:tcBorders>
              <w:top w:val="single" w:color="auto" w:sz="4" w:space="0"/>
              <w:left w:val="single" w:color="auto" w:sz="4" w:space="0"/>
              <w:bottom w:val="single" w:color="auto" w:sz="4" w:space="0"/>
              <w:right w:val="single" w:color="auto" w:sz="4" w:space="0"/>
            </w:tcBorders>
            <w:noWrap w:val="0"/>
            <w:vAlign w:val="center"/>
          </w:tcPr>
          <w:p w14:paraId="0B7CFE3A">
            <w:pPr>
              <w:widowControl/>
              <w:jc w:val="center"/>
              <w:rPr>
                <w:b/>
                <w:bCs/>
                <w:kern w:val="0"/>
                <w:sz w:val="24"/>
                <w:szCs w:val="24"/>
              </w:rPr>
            </w:pPr>
            <w:r>
              <w:rPr>
                <w:rFonts w:hint="eastAsia"/>
                <w:b/>
                <w:bCs/>
                <w:kern w:val="0"/>
                <w:sz w:val="24"/>
                <w:szCs w:val="24"/>
                <w:lang w:val="en"/>
              </w:rPr>
              <w:t>任务清单</w:t>
            </w:r>
          </w:p>
        </w:tc>
      </w:tr>
      <w:tr w14:paraId="0A00AA16">
        <w:tblPrEx>
          <w:tblCellMar>
            <w:top w:w="0" w:type="dxa"/>
            <w:left w:w="108" w:type="dxa"/>
            <w:bottom w:w="0" w:type="dxa"/>
            <w:right w:w="108" w:type="dxa"/>
          </w:tblCellMar>
        </w:tblPrEx>
        <w:trPr>
          <w:trHeight w:val="631"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1E1F2E8B">
            <w:pPr>
              <w:widowControl/>
              <w:jc w:val="center"/>
              <w:rPr>
                <w:kern w:val="0"/>
                <w:sz w:val="24"/>
                <w:szCs w:val="24"/>
              </w:rPr>
            </w:pPr>
            <w:r>
              <w:rPr>
                <w:kern w:val="0"/>
                <w:sz w:val="24"/>
                <w:szCs w:val="24"/>
              </w:rPr>
              <w:t>蓟州</w:t>
            </w:r>
            <w:r>
              <w:rPr>
                <w:rFonts w:hint="eastAsia"/>
                <w:kern w:val="0"/>
                <w:sz w:val="24"/>
                <w:szCs w:val="24"/>
              </w:rPr>
              <w:t>区</w:t>
            </w:r>
          </w:p>
        </w:tc>
        <w:tc>
          <w:tcPr>
            <w:tcW w:w="12378" w:type="dxa"/>
            <w:tcBorders>
              <w:top w:val="single" w:color="auto" w:sz="4" w:space="0"/>
              <w:left w:val="nil"/>
              <w:bottom w:val="single" w:color="auto" w:sz="4" w:space="0"/>
              <w:right w:val="single" w:color="auto" w:sz="4" w:space="0"/>
            </w:tcBorders>
            <w:noWrap w:val="0"/>
            <w:vAlign w:val="center"/>
          </w:tcPr>
          <w:p w14:paraId="045FAB6D">
            <w:pPr>
              <w:widowControl/>
              <w:jc w:val="left"/>
              <w:rPr>
                <w:rFonts w:hint="eastAsia"/>
                <w:kern w:val="0"/>
                <w:sz w:val="24"/>
                <w:szCs w:val="24"/>
              </w:rPr>
            </w:pPr>
            <w:r>
              <w:rPr>
                <w:rFonts w:hint="eastAsia"/>
                <w:kern w:val="0"/>
                <w:sz w:val="24"/>
                <w:szCs w:val="24"/>
              </w:rPr>
              <w:t>实施强制免疫</w:t>
            </w:r>
            <w:r>
              <w:rPr>
                <w:rFonts w:hint="eastAsia"/>
                <w:kern w:val="0"/>
                <w:sz w:val="24"/>
                <w:szCs w:val="24"/>
                <w:lang w:val="en"/>
              </w:rPr>
              <w:t>；</w:t>
            </w:r>
            <w:r>
              <w:rPr>
                <w:rFonts w:hint="eastAsia"/>
                <w:kern w:val="0"/>
                <w:sz w:val="24"/>
                <w:szCs w:val="24"/>
              </w:rPr>
              <w:t>实施养殖环节无害化处理；支持村级动物防疫体系建设。</w:t>
            </w:r>
          </w:p>
        </w:tc>
      </w:tr>
      <w:tr w14:paraId="652EE417">
        <w:tblPrEx>
          <w:tblCellMar>
            <w:top w:w="0" w:type="dxa"/>
            <w:left w:w="108" w:type="dxa"/>
            <w:bottom w:w="0" w:type="dxa"/>
            <w:right w:w="108" w:type="dxa"/>
          </w:tblCellMar>
        </w:tblPrEx>
        <w:trPr>
          <w:trHeight w:val="589"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3DAECF45">
            <w:pPr>
              <w:widowControl/>
              <w:jc w:val="center"/>
              <w:rPr>
                <w:kern w:val="0"/>
                <w:sz w:val="24"/>
                <w:szCs w:val="24"/>
              </w:rPr>
            </w:pPr>
            <w:r>
              <w:rPr>
                <w:kern w:val="0"/>
                <w:sz w:val="24"/>
                <w:szCs w:val="24"/>
              </w:rPr>
              <w:t>宝坻</w:t>
            </w:r>
            <w:r>
              <w:rPr>
                <w:rFonts w:hint="eastAsia"/>
                <w:kern w:val="0"/>
                <w:sz w:val="24"/>
                <w:szCs w:val="24"/>
              </w:rPr>
              <w:t>区</w:t>
            </w:r>
          </w:p>
        </w:tc>
        <w:tc>
          <w:tcPr>
            <w:tcW w:w="12378" w:type="dxa"/>
            <w:tcBorders>
              <w:top w:val="single" w:color="auto" w:sz="4" w:space="0"/>
              <w:left w:val="nil"/>
              <w:bottom w:val="single" w:color="auto" w:sz="4" w:space="0"/>
              <w:right w:val="single" w:color="auto" w:sz="4" w:space="0"/>
            </w:tcBorders>
            <w:noWrap w:val="0"/>
            <w:vAlign w:val="center"/>
          </w:tcPr>
          <w:p w14:paraId="624D011B">
            <w:pPr>
              <w:widowControl/>
              <w:jc w:val="left"/>
              <w:rPr>
                <w:rFonts w:hint="eastAsia"/>
                <w:kern w:val="0"/>
                <w:sz w:val="24"/>
                <w:szCs w:val="24"/>
              </w:rPr>
            </w:pPr>
            <w:r>
              <w:rPr>
                <w:rFonts w:hint="eastAsia"/>
                <w:kern w:val="0"/>
                <w:sz w:val="24"/>
                <w:szCs w:val="24"/>
              </w:rPr>
              <w:t>实施强制免疫</w:t>
            </w:r>
            <w:r>
              <w:rPr>
                <w:rFonts w:hint="eastAsia"/>
                <w:kern w:val="0"/>
                <w:sz w:val="24"/>
                <w:szCs w:val="24"/>
                <w:lang w:val="en"/>
              </w:rPr>
              <w:t>；</w:t>
            </w:r>
            <w:r>
              <w:rPr>
                <w:rFonts w:hint="eastAsia"/>
                <w:kern w:val="0"/>
                <w:sz w:val="24"/>
                <w:szCs w:val="24"/>
              </w:rPr>
              <w:t>实施养殖环节无害化处理；支持村级动物防疫体系建设。</w:t>
            </w:r>
          </w:p>
        </w:tc>
      </w:tr>
      <w:tr w14:paraId="21DB9D0E">
        <w:tblPrEx>
          <w:tblCellMar>
            <w:top w:w="0" w:type="dxa"/>
            <w:left w:w="108" w:type="dxa"/>
            <w:bottom w:w="0" w:type="dxa"/>
            <w:right w:w="108" w:type="dxa"/>
          </w:tblCellMar>
        </w:tblPrEx>
        <w:trPr>
          <w:trHeight w:val="657"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7ABDF0A">
            <w:pPr>
              <w:widowControl/>
              <w:jc w:val="center"/>
              <w:rPr>
                <w:kern w:val="0"/>
                <w:sz w:val="24"/>
                <w:szCs w:val="24"/>
              </w:rPr>
            </w:pPr>
            <w:r>
              <w:rPr>
                <w:kern w:val="0"/>
                <w:sz w:val="24"/>
                <w:szCs w:val="24"/>
              </w:rPr>
              <w:t>武清</w:t>
            </w:r>
            <w:r>
              <w:rPr>
                <w:rFonts w:hint="eastAsia"/>
                <w:kern w:val="0"/>
                <w:sz w:val="24"/>
                <w:szCs w:val="24"/>
              </w:rPr>
              <w:t>区</w:t>
            </w:r>
          </w:p>
        </w:tc>
        <w:tc>
          <w:tcPr>
            <w:tcW w:w="12378" w:type="dxa"/>
            <w:tcBorders>
              <w:top w:val="single" w:color="auto" w:sz="4" w:space="0"/>
              <w:left w:val="nil"/>
              <w:bottom w:val="single" w:color="auto" w:sz="4" w:space="0"/>
              <w:right w:val="single" w:color="auto" w:sz="4" w:space="0"/>
            </w:tcBorders>
            <w:noWrap w:val="0"/>
            <w:vAlign w:val="center"/>
          </w:tcPr>
          <w:p w14:paraId="62CACE3F">
            <w:pPr>
              <w:widowControl/>
              <w:jc w:val="left"/>
              <w:rPr>
                <w:rFonts w:hint="eastAsia"/>
                <w:kern w:val="0"/>
                <w:sz w:val="24"/>
                <w:szCs w:val="24"/>
              </w:rPr>
            </w:pPr>
            <w:r>
              <w:rPr>
                <w:rFonts w:hint="eastAsia"/>
                <w:kern w:val="0"/>
                <w:sz w:val="24"/>
                <w:szCs w:val="24"/>
              </w:rPr>
              <w:t>实施强制免疫</w:t>
            </w:r>
            <w:r>
              <w:rPr>
                <w:rFonts w:hint="eastAsia"/>
                <w:kern w:val="0"/>
                <w:sz w:val="24"/>
                <w:szCs w:val="24"/>
                <w:lang w:val="en"/>
              </w:rPr>
              <w:t>；</w:t>
            </w:r>
            <w:r>
              <w:rPr>
                <w:rFonts w:hint="eastAsia"/>
                <w:kern w:val="0"/>
                <w:sz w:val="24"/>
                <w:szCs w:val="24"/>
              </w:rPr>
              <w:t>实施养殖环节无害化处理；农作物重大病虫害防控；农业生产防灾救灾；支持村级动物防疫体系建设。</w:t>
            </w:r>
          </w:p>
        </w:tc>
      </w:tr>
      <w:tr w14:paraId="085DC4A7">
        <w:tblPrEx>
          <w:tblCellMar>
            <w:top w:w="0" w:type="dxa"/>
            <w:left w:w="108" w:type="dxa"/>
            <w:bottom w:w="0" w:type="dxa"/>
            <w:right w:w="108" w:type="dxa"/>
          </w:tblCellMar>
        </w:tblPrEx>
        <w:trPr>
          <w:trHeight w:val="62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EBCF0AF">
            <w:pPr>
              <w:widowControl/>
              <w:jc w:val="center"/>
              <w:rPr>
                <w:kern w:val="0"/>
                <w:sz w:val="24"/>
                <w:szCs w:val="24"/>
              </w:rPr>
            </w:pPr>
            <w:r>
              <w:rPr>
                <w:kern w:val="0"/>
                <w:sz w:val="24"/>
                <w:szCs w:val="24"/>
              </w:rPr>
              <w:t>宁河</w:t>
            </w:r>
            <w:r>
              <w:rPr>
                <w:rFonts w:hint="eastAsia"/>
                <w:kern w:val="0"/>
                <w:sz w:val="24"/>
                <w:szCs w:val="24"/>
              </w:rPr>
              <w:t>区</w:t>
            </w:r>
          </w:p>
        </w:tc>
        <w:tc>
          <w:tcPr>
            <w:tcW w:w="12378" w:type="dxa"/>
            <w:tcBorders>
              <w:top w:val="single" w:color="auto" w:sz="4" w:space="0"/>
              <w:left w:val="nil"/>
              <w:bottom w:val="single" w:color="auto" w:sz="4" w:space="0"/>
              <w:right w:val="single" w:color="auto" w:sz="4" w:space="0"/>
            </w:tcBorders>
            <w:noWrap w:val="0"/>
            <w:vAlign w:val="center"/>
          </w:tcPr>
          <w:p w14:paraId="25498C22">
            <w:pPr>
              <w:widowControl/>
              <w:jc w:val="left"/>
              <w:rPr>
                <w:rFonts w:hint="eastAsia"/>
                <w:kern w:val="0"/>
                <w:sz w:val="24"/>
                <w:szCs w:val="24"/>
              </w:rPr>
            </w:pPr>
            <w:r>
              <w:rPr>
                <w:rFonts w:hint="eastAsia"/>
                <w:kern w:val="0"/>
                <w:sz w:val="24"/>
                <w:szCs w:val="24"/>
              </w:rPr>
              <w:t>实施强制免疫</w:t>
            </w:r>
            <w:r>
              <w:rPr>
                <w:rFonts w:hint="eastAsia"/>
                <w:kern w:val="0"/>
                <w:sz w:val="24"/>
                <w:szCs w:val="24"/>
                <w:lang w:val="en"/>
              </w:rPr>
              <w:t>；</w:t>
            </w:r>
            <w:r>
              <w:rPr>
                <w:rFonts w:hint="eastAsia"/>
                <w:kern w:val="0"/>
                <w:sz w:val="24"/>
                <w:szCs w:val="24"/>
              </w:rPr>
              <w:t>实施养殖环节无害化处理；农作物重大病虫害防控；支持村级动物防疫体系建设。</w:t>
            </w:r>
          </w:p>
        </w:tc>
      </w:tr>
      <w:tr w14:paraId="0CBE7296">
        <w:tblPrEx>
          <w:tblCellMar>
            <w:top w:w="0" w:type="dxa"/>
            <w:left w:w="108" w:type="dxa"/>
            <w:bottom w:w="0" w:type="dxa"/>
            <w:right w:w="108" w:type="dxa"/>
          </w:tblCellMar>
        </w:tblPrEx>
        <w:trPr>
          <w:trHeight w:val="69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20BB8C4">
            <w:pPr>
              <w:widowControl/>
              <w:jc w:val="center"/>
              <w:rPr>
                <w:kern w:val="0"/>
                <w:sz w:val="24"/>
                <w:szCs w:val="24"/>
              </w:rPr>
            </w:pPr>
            <w:r>
              <w:rPr>
                <w:rFonts w:hint="eastAsia"/>
                <w:kern w:val="0"/>
                <w:sz w:val="24"/>
                <w:szCs w:val="24"/>
              </w:rPr>
              <w:t>静海区</w:t>
            </w:r>
          </w:p>
        </w:tc>
        <w:tc>
          <w:tcPr>
            <w:tcW w:w="12378" w:type="dxa"/>
            <w:tcBorders>
              <w:top w:val="single" w:color="auto" w:sz="4" w:space="0"/>
              <w:left w:val="nil"/>
              <w:bottom w:val="single" w:color="auto" w:sz="4" w:space="0"/>
              <w:right w:val="single" w:color="auto" w:sz="4" w:space="0"/>
            </w:tcBorders>
            <w:noWrap w:val="0"/>
            <w:vAlign w:val="center"/>
          </w:tcPr>
          <w:p w14:paraId="08C3DF48">
            <w:pPr>
              <w:widowControl/>
              <w:jc w:val="left"/>
              <w:rPr>
                <w:rFonts w:hint="eastAsia"/>
                <w:kern w:val="0"/>
                <w:sz w:val="24"/>
                <w:szCs w:val="24"/>
              </w:rPr>
            </w:pPr>
            <w:r>
              <w:rPr>
                <w:rFonts w:hint="eastAsia"/>
                <w:kern w:val="0"/>
                <w:sz w:val="24"/>
                <w:szCs w:val="24"/>
              </w:rPr>
              <w:t>实施强制免疫</w:t>
            </w:r>
            <w:r>
              <w:rPr>
                <w:rFonts w:hint="eastAsia"/>
                <w:kern w:val="0"/>
                <w:sz w:val="24"/>
                <w:szCs w:val="24"/>
                <w:lang w:val="en"/>
              </w:rPr>
              <w:t>；</w:t>
            </w:r>
            <w:r>
              <w:rPr>
                <w:rFonts w:hint="eastAsia"/>
                <w:kern w:val="0"/>
                <w:sz w:val="24"/>
                <w:szCs w:val="24"/>
              </w:rPr>
              <w:t>实施养殖环节无害化处理；农作物重大病虫害防控；农业生产防灾救灾；支持村级动物防疫体系建设。</w:t>
            </w:r>
          </w:p>
        </w:tc>
      </w:tr>
      <w:tr w14:paraId="05E26071">
        <w:tblPrEx>
          <w:tblCellMar>
            <w:top w:w="0" w:type="dxa"/>
            <w:left w:w="108" w:type="dxa"/>
            <w:bottom w:w="0" w:type="dxa"/>
            <w:right w:w="108" w:type="dxa"/>
          </w:tblCellMar>
        </w:tblPrEx>
        <w:trPr>
          <w:trHeight w:val="69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3F52A077">
            <w:pPr>
              <w:widowControl/>
              <w:jc w:val="center"/>
              <w:rPr>
                <w:rFonts w:hint="eastAsia"/>
                <w:kern w:val="0"/>
                <w:sz w:val="24"/>
                <w:szCs w:val="24"/>
              </w:rPr>
            </w:pPr>
            <w:r>
              <w:rPr>
                <w:rFonts w:hint="eastAsia"/>
                <w:kern w:val="0"/>
                <w:sz w:val="24"/>
                <w:szCs w:val="24"/>
              </w:rPr>
              <w:t>东丽区</w:t>
            </w:r>
          </w:p>
        </w:tc>
        <w:tc>
          <w:tcPr>
            <w:tcW w:w="12378" w:type="dxa"/>
            <w:tcBorders>
              <w:top w:val="single" w:color="auto" w:sz="4" w:space="0"/>
              <w:left w:val="nil"/>
              <w:bottom w:val="single" w:color="auto" w:sz="4" w:space="0"/>
              <w:right w:val="single" w:color="auto" w:sz="4" w:space="0"/>
            </w:tcBorders>
            <w:noWrap w:val="0"/>
            <w:vAlign w:val="center"/>
          </w:tcPr>
          <w:p w14:paraId="561D505E">
            <w:pPr>
              <w:widowControl/>
              <w:jc w:val="left"/>
              <w:rPr>
                <w:rFonts w:hint="eastAsia" w:eastAsia="仿宋_GB2312"/>
                <w:kern w:val="0"/>
                <w:sz w:val="24"/>
                <w:szCs w:val="24"/>
                <w:lang w:eastAsia="zh-CN"/>
              </w:rPr>
            </w:pPr>
            <w:r>
              <w:rPr>
                <w:rFonts w:hint="eastAsia"/>
                <w:kern w:val="0"/>
                <w:sz w:val="24"/>
                <w:szCs w:val="24"/>
              </w:rPr>
              <w:t>实施强制免疫</w:t>
            </w:r>
            <w:r>
              <w:rPr>
                <w:rFonts w:hint="eastAsia"/>
                <w:kern w:val="0"/>
                <w:sz w:val="24"/>
                <w:szCs w:val="24"/>
                <w:lang w:val="en"/>
              </w:rPr>
              <w:t>；</w:t>
            </w:r>
            <w:r>
              <w:rPr>
                <w:rFonts w:hint="eastAsia"/>
                <w:kern w:val="0"/>
                <w:sz w:val="24"/>
                <w:szCs w:val="24"/>
              </w:rPr>
              <w:t>实施养殖环节无害化处理；支持村级动物防疫体系建设</w:t>
            </w:r>
            <w:r>
              <w:rPr>
                <w:rFonts w:hint="eastAsia"/>
                <w:kern w:val="0"/>
                <w:sz w:val="24"/>
                <w:szCs w:val="24"/>
                <w:lang w:eastAsia="zh-CN"/>
              </w:rPr>
              <w:t>。</w:t>
            </w:r>
          </w:p>
        </w:tc>
      </w:tr>
      <w:tr w14:paraId="52ECCB13">
        <w:tblPrEx>
          <w:tblCellMar>
            <w:top w:w="0" w:type="dxa"/>
            <w:left w:w="108" w:type="dxa"/>
            <w:bottom w:w="0" w:type="dxa"/>
            <w:right w:w="108" w:type="dxa"/>
          </w:tblCellMar>
        </w:tblPrEx>
        <w:trPr>
          <w:trHeight w:val="679"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4D6043C">
            <w:pPr>
              <w:widowControl/>
              <w:jc w:val="center"/>
              <w:rPr>
                <w:kern w:val="0"/>
                <w:sz w:val="24"/>
                <w:szCs w:val="24"/>
              </w:rPr>
            </w:pPr>
            <w:r>
              <w:rPr>
                <w:rFonts w:hint="eastAsia"/>
                <w:kern w:val="0"/>
                <w:sz w:val="24"/>
                <w:szCs w:val="24"/>
              </w:rPr>
              <w:t>津南区</w:t>
            </w:r>
          </w:p>
        </w:tc>
        <w:tc>
          <w:tcPr>
            <w:tcW w:w="12378" w:type="dxa"/>
            <w:tcBorders>
              <w:top w:val="single" w:color="auto" w:sz="4" w:space="0"/>
              <w:left w:val="nil"/>
              <w:bottom w:val="single" w:color="auto" w:sz="4" w:space="0"/>
              <w:right w:val="single" w:color="auto" w:sz="4" w:space="0"/>
            </w:tcBorders>
            <w:noWrap w:val="0"/>
            <w:vAlign w:val="center"/>
          </w:tcPr>
          <w:p w14:paraId="5DCCD628">
            <w:pPr>
              <w:widowControl/>
              <w:jc w:val="left"/>
              <w:rPr>
                <w:rFonts w:hint="eastAsia"/>
                <w:kern w:val="0"/>
                <w:sz w:val="24"/>
                <w:szCs w:val="24"/>
              </w:rPr>
            </w:pPr>
            <w:r>
              <w:rPr>
                <w:rFonts w:hint="eastAsia"/>
                <w:kern w:val="0"/>
                <w:sz w:val="24"/>
                <w:szCs w:val="24"/>
              </w:rPr>
              <w:t>实施强制免疫</w:t>
            </w:r>
            <w:r>
              <w:rPr>
                <w:rFonts w:hint="eastAsia"/>
                <w:kern w:val="0"/>
                <w:sz w:val="24"/>
                <w:szCs w:val="24"/>
                <w:lang w:val="en"/>
              </w:rPr>
              <w:t>；</w:t>
            </w:r>
            <w:r>
              <w:rPr>
                <w:rFonts w:hint="eastAsia"/>
                <w:kern w:val="0"/>
                <w:sz w:val="24"/>
                <w:szCs w:val="24"/>
              </w:rPr>
              <w:t>实施养殖环节无害化处理；支持村级动物防疫体系建设。</w:t>
            </w:r>
          </w:p>
        </w:tc>
      </w:tr>
      <w:tr w14:paraId="336EE0A5">
        <w:tblPrEx>
          <w:tblCellMar>
            <w:top w:w="0" w:type="dxa"/>
            <w:left w:w="108" w:type="dxa"/>
            <w:bottom w:w="0" w:type="dxa"/>
            <w:right w:w="108" w:type="dxa"/>
          </w:tblCellMar>
        </w:tblPrEx>
        <w:trPr>
          <w:trHeight w:val="631"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0D5771">
            <w:pPr>
              <w:widowControl/>
              <w:jc w:val="center"/>
              <w:rPr>
                <w:kern w:val="0"/>
                <w:sz w:val="24"/>
                <w:szCs w:val="24"/>
              </w:rPr>
            </w:pPr>
            <w:r>
              <w:rPr>
                <w:rFonts w:hint="eastAsia"/>
                <w:kern w:val="0"/>
                <w:sz w:val="24"/>
                <w:szCs w:val="24"/>
              </w:rPr>
              <w:t>西青区</w:t>
            </w:r>
          </w:p>
        </w:tc>
        <w:tc>
          <w:tcPr>
            <w:tcW w:w="12378" w:type="dxa"/>
            <w:tcBorders>
              <w:top w:val="single" w:color="auto" w:sz="4" w:space="0"/>
              <w:left w:val="nil"/>
              <w:bottom w:val="single" w:color="auto" w:sz="4" w:space="0"/>
              <w:right w:val="single" w:color="auto" w:sz="4" w:space="0"/>
            </w:tcBorders>
            <w:noWrap w:val="0"/>
            <w:vAlign w:val="center"/>
          </w:tcPr>
          <w:p w14:paraId="3D341547">
            <w:pPr>
              <w:widowControl/>
              <w:jc w:val="left"/>
              <w:rPr>
                <w:rFonts w:hint="eastAsia"/>
                <w:kern w:val="0"/>
                <w:sz w:val="24"/>
                <w:szCs w:val="24"/>
              </w:rPr>
            </w:pPr>
            <w:r>
              <w:rPr>
                <w:rFonts w:hint="eastAsia"/>
                <w:kern w:val="0"/>
                <w:sz w:val="24"/>
                <w:szCs w:val="24"/>
              </w:rPr>
              <w:t>实施强制免疫</w:t>
            </w:r>
            <w:r>
              <w:rPr>
                <w:rFonts w:hint="eastAsia"/>
                <w:kern w:val="0"/>
                <w:sz w:val="24"/>
                <w:szCs w:val="24"/>
                <w:lang w:val="en"/>
              </w:rPr>
              <w:t>；</w:t>
            </w:r>
            <w:r>
              <w:rPr>
                <w:rFonts w:hint="eastAsia"/>
                <w:kern w:val="0"/>
                <w:sz w:val="24"/>
                <w:szCs w:val="24"/>
              </w:rPr>
              <w:t>农作物重大病虫害防控；农业生产防灾救灾；支持村级动物防疫体系建设。</w:t>
            </w:r>
          </w:p>
        </w:tc>
      </w:tr>
      <w:tr w14:paraId="28C0920D">
        <w:tblPrEx>
          <w:tblCellMar>
            <w:top w:w="0" w:type="dxa"/>
            <w:left w:w="108" w:type="dxa"/>
            <w:bottom w:w="0" w:type="dxa"/>
            <w:right w:w="108" w:type="dxa"/>
          </w:tblCellMar>
        </w:tblPrEx>
        <w:trPr>
          <w:trHeight w:val="613"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1DF45074">
            <w:pPr>
              <w:widowControl/>
              <w:jc w:val="center"/>
              <w:rPr>
                <w:rFonts w:hint="eastAsia"/>
                <w:kern w:val="0"/>
                <w:sz w:val="24"/>
                <w:szCs w:val="24"/>
              </w:rPr>
            </w:pPr>
            <w:r>
              <w:rPr>
                <w:rFonts w:hint="eastAsia"/>
                <w:kern w:val="0"/>
                <w:sz w:val="24"/>
                <w:szCs w:val="24"/>
              </w:rPr>
              <w:t>北辰</w:t>
            </w:r>
            <w:r>
              <w:rPr>
                <w:kern w:val="0"/>
                <w:sz w:val="24"/>
                <w:szCs w:val="24"/>
              </w:rPr>
              <w:t>区</w:t>
            </w:r>
          </w:p>
        </w:tc>
        <w:tc>
          <w:tcPr>
            <w:tcW w:w="12378" w:type="dxa"/>
            <w:tcBorders>
              <w:top w:val="single" w:color="auto" w:sz="4" w:space="0"/>
              <w:left w:val="nil"/>
              <w:bottom w:val="single" w:color="auto" w:sz="4" w:space="0"/>
              <w:right w:val="single" w:color="auto" w:sz="4" w:space="0"/>
            </w:tcBorders>
            <w:noWrap w:val="0"/>
            <w:vAlign w:val="center"/>
          </w:tcPr>
          <w:p w14:paraId="3EF52472">
            <w:pPr>
              <w:widowControl/>
              <w:jc w:val="left"/>
              <w:rPr>
                <w:rFonts w:hint="eastAsia"/>
                <w:kern w:val="0"/>
                <w:sz w:val="24"/>
                <w:szCs w:val="24"/>
              </w:rPr>
            </w:pPr>
            <w:r>
              <w:rPr>
                <w:rFonts w:hint="eastAsia"/>
                <w:kern w:val="0"/>
                <w:sz w:val="24"/>
                <w:szCs w:val="24"/>
              </w:rPr>
              <w:t>实施强制免疫</w:t>
            </w:r>
            <w:r>
              <w:rPr>
                <w:rFonts w:hint="eastAsia"/>
                <w:kern w:val="0"/>
                <w:sz w:val="24"/>
                <w:szCs w:val="24"/>
                <w:lang w:val="en"/>
              </w:rPr>
              <w:t>；</w:t>
            </w:r>
            <w:r>
              <w:rPr>
                <w:rFonts w:hint="eastAsia"/>
                <w:kern w:val="0"/>
                <w:sz w:val="24"/>
                <w:szCs w:val="24"/>
              </w:rPr>
              <w:t>实施养殖环节无害化处理；农作物重大病虫害防控；农业生产防灾救灾；支持村级动物防疫体系建设。</w:t>
            </w:r>
          </w:p>
        </w:tc>
      </w:tr>
      <w:tr w14:paraId="1080FA69">
        <w:tblPrEx>
          <w:tblCellMar>
            <w:top w:w="0" w:type="dxa"/>
            <w:left w:w="108" w:type="dxa"/>
            <w:bottom w:w="0" w:type="dxa"/>
            <w:right w:w="108" w:type="dxa"/>
          </w:tblCellMar>
        </w:tblPrEx>
        <w:trPr>
          <w:trHeight w:val="699"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0EA2DA5">
            <w:pPr>
              <w:widowControl/>
              <w:jc w:val="center"/>
              <w:rPr>
                <w:kern w:val="0"/>
                <w:sz w:val="24"/>
                <w:szCs w:val="24"/>
              </w:rPr>
            </w:pPr>
            <w:r>
              <w:rPr>
                <w:rFonts w:hint="eastAsia"/>
                <w:kern w:val="0"/>
                <w:sz w:val="24"/>
                <w:szCs w:val="24"/>
              </w:rPr>
              <w:t>滨海</w:t>
            </w:r>
            <w:r>
              <w:rPr>
                <w:kern w:val="0"/>
                <w:sz w:val="24"/>
                <w:szCs w:val="24"/>
              </w:rPr>
              <w:t>新</w:t>
            </w:r>
            <w:r>
              <w:rPr>
                <w:rFonts w:hint="eastAsia"/>
                <w:kern w:val="0"/>
                <w:sz w:val="24"/>
                <w:szCs w:val="24"/>
              </w:rPr>
              <w:t>区</w:t>
            </w:r>
          </w:p>
        </w:tc>
        <w:tc>
          <w:tcPr>
            <w:tcW w:w="12378" w:type="dxa"/>
            <w:tcBorders>
              <w:top w:val="single" w:color="auto" w:sz="4" w:space="0"/>
              <w:left w:val="nil"/>
              <w:bottom w:val="single" w:color="auto" w:sz="4" w:space="0"/>
              <w:right w:val="single" w:color="auto" w:sz="4" w:space="0"/>
            </w:tcBorders>
            <w:noWrap w:val="0"/>
            <w:vAlign w:val="center"/>
          </w:tcPr>
          <w:p w14:paraId="39B7E6B5">
            <w:pPr>
              <w:widowControl/>
              <w:jc w:val="left"/>
              <w:rPr>
                <w:rFonts w:hint="eastAsia"/>
                <w:kern w:val="0"/>
                <w:sz w:val="24"/>
                <w:szCs w:val="24"/>
              </w:rPr>
            </w:pPr>
            <w:r>
              <w:rPr>
                <w:rFonts w:hint="eastAsia"/>
                <w:kern w:val="0"/>
                <w:sz w:val="24"/>
                <w:szCs w:val="24"/>
              </w:rPr>
              <w:t>实施强制免疫</w:t>
            </w:r>
            <w:r>
              <w:rPr>
                <w:rFonts w:hint="eastAsia"/>
                <w:kern w:val="0"/>
                <w:sz w:val="24"/>
                <w:szCs w:val="24"/>
                <w:lang w:val="en"/>
              </w:rPr>
              <w:t>；</w:t>
            </w:r>
            <w:r>
              <w:rPr>
                <w:rFonts w:hint="eastAsia"/>
                <w:kern w:val="0"/>
                <w:sz w:val="24"/>
                <w:szCs w:val="24"/>
              </w:rPr>
              <w:t>实施养殖环节无害化处理；农作物重大病虫害防控；支持村级动物防疫体系建设。</w:t>
            </w:r>
          </w:p>
        </w:tc>
      </w:tr>
      <w:tr w14:paraId="4419C34B">
        <w:tblPrEx>
          <w:tblCellMar>
            <w:top w:w="0" w:type="dxa"/>
            <w:left w:w="108" w:type="dxa"/>
            <w:bottom w:w="0" w:type="dxa"/>
            <w:right w:w="108" w:type="dxa"/>
          </w:tblCellMar>
        </w:tblPrEx>
        <w:trPr>
          <w:trHeight w:val="744"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56AE0925">
            <w:pPr>
              <w:widowControl/>
              <w:jc w:val="center"/>
              <w:rPr>
                <w:rFonts w:hint="eastAsia"/>
                <w:kern w:val="0"/>
                <w:sz w:val="24"/>
                <w:szCs w:val="24"/>
              </w:rPr>
            </w:pPr>
            <w:r>
              <w:rPr>
                <w:rFonts w:hint="eastAsia"/>
                <w:kern w:val="0"/>
                <w:sz w:val="24"/>
                <w:szCs w:val="24"/>
              </w:rPr>
              <w:t>市级有关单位</w:t>
            </w:r>
          </w:p>
        </w:tc>
        <w:tc>
          <w:tcPr>
            <w:tcW w:w="12378" w:type="dxa"/>
            <w:tcBorders>
              <w:top w:val="single" w:color="auto" w:sz="4" w:space="0"/>
              <w:left w:val="nil"/>
              <w:bottom w:val="single" w:color="auto" w:sz="4" w:space="0"/>
              <w:right w:val="single" w:color="auto" w:sz="4" w:space="0"/>
            </w:tcBorders>
            <w:noWrap w:val="0"/>
            <w:vAlign w:val="center"/>
          </w:tcPr>
          <w:p w14:paraId="6A4B0435">
            <w:pPr>
              <w:widowControl/>
              <w:jc w:val="left"/>
              <w:rPr>
                <w:rFonts w:hint="eastAsia"/>
                <w:kern w:val="0"/>
                <w:sz w:val="24"/>
                <w:szCs w:val="24"/>
              </w:rPr>
            </w:pPr>
            <w:r>
              <w:rPr>
                <w:rFonts w:hint="eastAsia"/>
                <w:kern w:val="0"/>
                <w:sz w:val="24"/>
                <w:szCs w:val="24"/>
              </w:rPr>
              <w:t>实施强制免疫</w:t>
            </w:r>
            <w:r>
              <w:rPr>
                <w:kern w:val="0"/>
                <w:sz w:val="24"/>
                <w:szCs w:val="24"/>
                <w:lang w:val="en"/>
              </w:rPr>
              <w:t>；</w:t>
            </w:r>
            <w:r>
              <w:rPr>
                <w:rFonts w:hint="eastAsia"/>
                <w:kern w:val="0"/>
                <w:sz w:val="24"/>
                <w:szCs w:val="24"/>
              </w:rPr>
              <w:t>实施养殖环节无害化处理。</w:t>
            </w:r>
          </w:p>
        </w:tc>
      </w:tr>
    </w:tbl>
    <w:p w14:paraId="2FD78AC5">
      <w:pPr>
        <w:spacing w:line="600" w:lineRule="exact"/>
        <w:rPr>
          <w:u w:val="single"/>
        </w:rPr>
        <w:sectPr>
          <w:footerReference r:id="rId14" w:type="default"/>
          <w:pgSz w:w="16838" w:h="11906" w:orient="landscape"/>
          <w:pgMar w:top="1134" w:right="1361" w:bottom="1134" w:left="1361" w:header="851" w:footer="851" w:gutter="0"/>
          <w:pgNumType w:fmt="decimal" w:start="35"/>
          <w:cols w:space="720" w:num="1"/>
          <w:docGrid w:linePitch="612" w:charSpace="-4740"/>
        </w:sectPr>
      </w:pPr>
    </w:p>
    <w:tbl>
      <w:tblPr>
        <w:tblStyle w:val="9"/>
        <w:tblW w:w="0" w:type="auto"/>
        <w:tblInd w:w="108" w:type="dxa"/>
        <w:tblLayout w:type="fixed"/>
        <w:tblCellMar>
          <w:top w:w="0" w:type="dxa"/>
          <w:left w:w="108" w:type="dxa"/>
          <w:bottom w:w="0" w:type="dxa"/>
          <w:right w:w="108" w:type="dxa"/>
        </w:tblCellMar>
      </w:tblPr>
      <w:tblGrid>
        <w:gridCol w:w="1656"/>
        <w:gridCol w:w="12378"/>
      </w:tblGrid>
      <w:tr w14:paraId="70280485">
        <w:tblPrEx>
          <w:tblCellMar>
            <w:top w:w="0" w:type="dxa"/>
            <w:left w:w="108" w:type="dxa"/>
            <w:bottom w:w="0" w:type="dxa"/>
            <w:right w:w="108" w:type="dxa"/>
          </w:tblCellMar>
        </w:tblPrEx>
        <w:trPr>
          <w:trHeight w:val="585" w:hRule="atLeast"/>
        </w:trPr>
        <w:tc>
          <w:tcPr>
            <w:tcW w:w="14034" w:type="dxa"/>
            <w:gridSpan w:val="2"/>
            <w:tcBorders>
              <w:top w:val="nil"/>
              <w:left w:val="nil"/>
              <w:bottom w:val="nil"/>
              <w:right w:val="nil"/>
            </w:tcBorders>
            <w:noWrap w:val="0"/>
            <w:vAlign w:val="center"/>
          </w:tcPr>
          <w:p w14:paraId="129C479A">
            <w:pPr>
              <w:spacing w:line="520" w:lineRule="exact"/>
              <w:rPr>
                <w:rFonts w:ascii="黑体" w:hAnsi="黑体" w:eastAsia="黑体" w:cs="黑体"/>
                <w:lang w:val="en"/>
              </w:rPr>
            </w:pPr>
            <w:r>
              <w:rPr>
                <w:rFonts w:hint="eastAsia" w:ascii="黑体" w:hAnsi="黑体" w:eastAsia="黑体" w:cs="黑体"/>
              </w:rPr>
              <w:t>附件1</w:t>
            </w:r>
            <w:r>
              <w:rPr>
                <w:rFonts w:ascii="黑体" w:hAnsi="黑体" w:eastAsia="黑体" w:cs="黑体"/>
                <w:lang w:val="en"/>
              </w:rPr>
              <w:t>4</w:t>
            </w:r>
          </w:p>
          <w:p w14:paraId="6C96A03F">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农村社会发展资金项目任务清单</w:t>
            </w:r>
          </w:p>
          <w:p w14:paraId="6D8DBD7E">
            <w:pPr>
              <w:pStyle w:val="5"/>
              <w:ind w:firstLine="640"/>
              <w:rPr>
                <w:rFonts w:hint="eastAsia"/>
              </w:rPr>
            </w:pPr>
          </w:p>
        </w:tc>
      </w:tr>
      <w:tr w14:paraId="529893CF">
        <w:tblPrEx>
          <w:tblCellMar>
            <w:top w:w="0" w:type="dxa"/>
            <w:left w:w="108" w:type="dxa"/>
            <w:bottom w:w="0" w:type="dxa"/>
            <w:right w:w="108" w:type="dxa"/>
          </w:tblCellMar>
        </w:tblPrEx>
        <w:trPr>
          <w:trHeight w:val="569" w:hRule="atLeast"/>
        </w:trPr>
        <w:tc>
          <w:tcPr>
            <w:tcW w:w="1656" w:type="dxa"/>
            <w:tcBorders>
              <w:top w:val="single" w:color="auto" w:sz="4" w:space="0"/>
              <w:left w:val="single" w:color="auto" w:sz="4" w:space="0"/>
              <w:bottom w:val="single" w:color="auto" w:sz="4" w:space="0"/>
              <w:right w:val="nil"/>
            </w:tcBorders>
            <w:noWrap w:val="0"/>
            <w:vAlign w:val="center"/>
          </w:tcPr>
          <w:p w14:paraId="02E662E4">
            <w:pPr>
              <w:widowControl/>
              <w:jc w:val="center"/>
              <w:rPr>
                <w:rFonts w:hint="eastAsia"/>
                <w:b/>
                <w:bCs/>
                <w:kern w:val="0"/>
                <w:sz w:val="24"/>
                <w:szCs w:val="24"/>
                <w:lang w:val="en"/>
              </w:rPr>
            </w:pPr>
            <w:r>
              <w:rPr>
                <w:rFonts w:hint="eastAsia"/>
                <w:b/>
                <w:bCs/>
                <w:kern w:val="0"/>
                <w:sz w:val="24"/>
                <w:szCs w:val="24"/>
                <w:lang w:val="en"/>
              </w:rPr>
              <w:t>各区</w:t>
            </w:r>
          </w:p>
        </w:tc>
        <w:tc>
          <w:tcPr>
            <w:tcW w:w="12378" w:type="dxa"/>
            <w:tcBorders>
              <w:top w:val="single" w:color="auto" w:sz="4" w:space="0"/>
              <w:left w:val="single" w:color="auto" w:sz="4" w:space="0"/>
              <w:bottom w:val="single" w:color="auto" w:sz="4" w:space="0"/>
              <w:right w:val="single" w:color="auto" w:sz="4" w:space="0"/>
            </w:tcBorders>
            <w:noWrap w:val="0"/>
            <w:vAlign w:val="center"/>
          </w:tcPr>
          <w:p w14:paraId="58A541C2">
            <w:pPr>
              <w:widowControl/>
              <w:jc w:val="center"/>
              <w:rPr>
                <w:rFonts w:hint="eastAsia"/>
                <w:b/>
                <w:bCs/>
                <w:kern w:val="0"/>
                <w:sz w:val="24"/>
                <w:szCs w:val="24"/>
                <w:lang w:val="en"/>
              </w:rPr>
            </w:pPr>
            <w:r>
              <w:rPr>
                <w:rFonts w:hint="eastAsia"/>
                <w:b/>
                <w:bCs/>
                <w:kern w:val="0"/>
                <w:sz w:val="24"/>
                <w:szCs w:val="24"/>
                <w:lang w:val="en"/>
              </w:rPr>
              <w:t>任务清单</w:t>
            </w:r>
          </w:p>
        </w:tc>
      </w:tr>
      <w:tr w14:paraId="65DDC062">
        <w:tblPrEx>
          <w:tblCellMar>
            <w:top w:w="0" w:type="dxa"/>
            <w:left w:w="108" w:type="dxa"/>
            <w:bottom w:w="0" w:type="dxa"/>
            <w:right w:w="108" w:type="dxa"/>
          </w:tblCellMar>
        </w:tblPrEx>
        <w:trPr>
          <w:trHeight w:val="631"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F8A053C">
            <w:pPr>
              <w:widowControl/>
              <w:jc w:val="left"/>
              <w:rPr>
                <w:rFonts w:hint="eastAsia"/>
                <w:kern w:val="0"/>
                <w:sz w:val="24"/>
                <w:szCs w:val="24"/>
              </w:rPr>
            </w:pPr>
            <w:r>
              <w:rPr>
                <w:rFonts w:hint="eastAsia"/>
                <w:kern w:val="0"/>
                <w:sz w:val="24"/>
                <w:szCs w:val="24"/>
              </w:rPr>
              <w:t>蓟州区</w:t>
            </w:r>
          </w:p>
        </w:tc>
        <w:tc>
          <w:tcPr>
            <w:tcW w:w="12378" w:type="dxa"/>
            <w:tcBorders>
              <w:top w:val="single" w:color="auto" w:sz="4" w:space="0"/>
              <w:left w:val="nil"/>
              <w:bottom w:val="single" w:color="auto" w:sz="4" w:space="0"/>
              <w:right w:val="single" w:color="auto" w:sz="4" w:space="0"/>
            </w:tcBorders>
            <w:noWrap w:val="0"/>
            <w:vAlign w:val="center"/>
          </w:tcPr>
          <w:p w14:paraId="244BD709">
            <w:pPr>
              <w:widowControl/>
              <w:jc w:val="left"/>
              <w:rPr>
                <w:rFonts w:hint="eastAsia"/>
                <w:kern w:val="0"/>
                <w:sz w:val="24"/>
                <w:szCs w:val="24"/>
              </w:rPr>
            </w:pPr>
            <w:r>
              <w:rPr>
                <w:rFonts w:hint="eastAsia"/>
                <w:kern w:val="0"/>
                <w:sz w:val="24"/>
                <w:szCs w:val="24"/>
              </w:rPr>
              <w:t>支持农村“厕所革命”；支持农村生活污水处理设施建设运行维护；支持“百千工程”示范村建设（人居环境整治示范村建设）；</w:t>
            </w:r>
            <w:r>
              <w:rPr>
                <w:kern w:val="0"/>
                <w:sz w:val="24"/>
                <w:szCs w:val="24"/>
                <w:lang w:val="en"/>
              </w:rPr>
              <w:t>乡村振兴示范村创建（市级政策）</w:t>
            </w:r>
            <w:r>
              <w:rPr>
                <w:rFonts w:hint="eastAsia"/>
                <w:kern w:val="0"/>
                <w:sz w:val="24"/>
                <w:szCs w:val="24"/>
                <w:lang w:val="en"/>
              </w:rPr>
              <w:t>；农村公益事业建设奖补资金</w:t>
            </w:r>
            <w:r>
              <w:rPr>
                <w:rFonts w:hint="eastAsia"/>
                <w:kern w:val="0"/>
                <w:sz w:val="24"/>
                <w:szCs w:val="24"/>
              </w:rPr>
              <w:t>。</w:t>
            </w:r>
          </w:p>
        </w:tc>
      </w:tr>
      <w:tr w14:paraId="2464CB2A">
        <w:tblPrEx>
          <w:tblCellMar>
            <w:top w:w="0" w:type="dxa"/>
            <w:left w:w="108" w:type="dxa"/>
            <w:bottom w:w="0" w:type="dxa"/>
            <w:right w:w="108" w:type="dxa"/>
          </w:tblCellMar>
        </w:tblPrEx>
        <w:trPr>
          <w:trHeight w:val="589"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6926885B">
            <w:pPr>
              <w:widowControl/>
              <w:jc w:val="left"/>
              <w:rPr>
                <w:rFonts w:hint="eastAsia"/>
                <w:kern w:val="0"/>
                <w:sz w:val="24"/>
                <w:szCs w:val="24"/>
              </w:rPr>
            </w:pPr>
            <w:r>
              <w:rPr>
                <w:rFonts w:hint="eastAsia"/>
                <w:kern w:val="0"/>
                <w:sz w:val="24"/>
                <w:szCs w:val="24"/>
              </w:rPr>
              <w:t>宝坻区</w:t>
            </w:r>
          </w:p>
        </w:tc>
        <w:tc>
          <w:tcPr>
            <w:tcW w:w="12378" w:type="dxa"/>
            <w:tcBorders>
              <w:top w:val="single" w:color="auto" w:sz="4" w:space="0"/>
              <w:left w:val="nil"/>
              <w:bottom w:val="single" w:color="auto" w:sz="4" w:space="0"/>
              <w:right w:val="single" w:color="auto" w:sz="4" w:space="0"/>
            </w:tcBorders>
            <w:noWrap w:val="0"/>
            <w:vAlign w:val="center"/>
          </w:tcPr>
          <w:p w14:paraId="78A2E5E1">
            <w:pPr>
              <w:widowControl/>
              <w:jc w:val="left"/>
              <w:rPr>
                <w:rFonts w:hint="eastAsia"/>
                <w:kern w:val="0"/>
                <w:sz w:val="24"/>
                <w:szCs w:val="24"/>
              </w:rPr>
            </w:pPr>
            <w:r>
              <w:rPr>
                <w:rFonts w:hint="eastAsia"/>
                <w:kern w:val="0"/>
                <w:sz w:val="24"/>
                <w:szCs w:val="24"/>
              </w:rPr>
              <w:t>支持农村“厕所革命”；支持农村生活污水处理设施运行维护；支持“百千工程”示范村建设（人居环境整治示范村建设）；</w:t>
            </w:r>
            <w:r>
              <w:rPr>
                <w:kern w:val="0"/>
                <w:sz w:val="24"/>
                <w:szCs w:val="24"/>
                <w:lang w:val="en"/>
              </w:rPr>
              <w:t>乡村振兴示范村创建（市级政策）</w:t>
            </w:r>
            <w:r>
              <w:rPr>
                <w:rFonts w:hint="eastAsia"/>
                <w:kern w:val="0"/>
                <w:sz w:val="24"/>
                <w:szCs w:val="24"/>
                <w:lang w:val="en"/>
              </w:rPr>
              <w:t>；</w:t>
            </w:r>
            <w:r>
              <w:rPr>
                <w:rFonts w:hint="eastAsia"/>
                <w:kern w:val="0"/>
                <w:sz w:val="24"/>
                <w:szCs w:val="24"/>
              </w:rPr>
              <w:t xml:space="preserve">美丽乡村奖补。 </w:t>
            </w:r>
          </w:p>
        </w:tc>
      </w:tr>
      <w:tr w14:paraId="509CB955">
        <w:tblPrEx>
          <w:tblCellMar>
            <w:top w:w="0" w:type="dxa"/>
            <w:left w:w="108" w:type="dxa"/>
            <w:bottom w:w="0" w:type="dxa"/>
            <w:right w:w="108" w:type="dxa"/>
          </w:tblCellMar>
        </w:tblPrEx>
        <w:trPr>
          <w:trHeight w:val="657"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3B6D9662">
            <w:pPr>
              <w:widowControl/>
              <w:jc w:val="left"/>
              <w:rPr>
                <w:rFonts w:hint="eastAsia"/>
                <w:kern w:val="0"/>
                <w:sz w:val="24"/>
                <w:szCs w:val="24"/>
              </w:rPr>
            </w:pPr>
            <w:r>
              <w:rPr>
                <w:rFonts w:hint="eastAsia"/>
                <w:kern w:val="0"/>
                <w:sz w:val="24"/>
                <w:szCs w:val="24"/>
              </w:rPr>
              <w:t>武清区</w:t>
            </w:r>
          </w:p>
        </w:tc>
        <w:tc>
          <w:tcPr>
            <w:tcW w:w="12378" w:type="dxa"/>
            <w:tcBorders>
              <w:top w:val="single" w:color="auto" w:sz="4" w:space="0"/>
              <w:left w:val="nil"/>
              <w:bottom w:val="single" w:color="auto" w:sz="4" w:space="0"/>
              <w:right w:val="single" w:color="auto" w:sz="4" w:space="0"/>
            </w:tcBorders>
            <w:noWrap w:val="0"/>
            <w:vAlign w:val="center"/>
          </w:tcPr>
          <w:p w14:paraId="6133AFE6">
            <w:pPr>
              <w:widowControl/>
              <w:jc w:val="left"/>
              <w:rPr>
                <w:rFonts w:hint="eastAsia"/>
                <w:kern w:val="0"/>
                <w:sz w:val="24"/>
                <w:szCs w:val="24"/>
              </w:rPr>
            </w:pPr>
            <w:r>
              <w:rPr>
                <w:rFonts w:hint="eastAsia"/>
                <w:kern w:val="0"/>
                <w:sz w:val="24"/>
                <w:szCs w:val="24"/>
              </w:rPr>
              <w:t>支持农村“厕所革命”；支持农村生活污水处理设施运行维护；支持“百千工程”示范村建设（人居环境整治示范村建设）；</w:t>
            </w:r>
            <w:r>
              <w:rPr>
                <w:kern w:val="0"/>
                <w:sz w:val="24"/>
                <w:szCs w:val="24"/>
                <w:lang w:val="en"/>
              </w:rPr>
              <w:t>乡村振兴示范村创建（市级政策）</w:t>
            </w:r>
            <w:r>
              <w:rPr>
                <w:rFonts w:hint="eastAsia"/>
                <w:kern w:val="0"/>
                <w:sz w:val="24"/>
                <w:szCs w:val="24"/>
                <w:lang w:val="en"/>
              </w:rPr>
              <w:t>；支持“五好两宜”；</w:t>
            </w:r>
            <w:r>
              <w:rPr>
                <w:rFonts w:hint="eastAsia"/>
                <w:kern w:val="0"/>
                <w:sz w:val="24"/>
                <w:szCs w:val="24"/>
              </w:rPr>
              <w:t xml:space="preserve">美丽乡村奖补。 </w:t>
            </w:r>
          </w:p>
        </w:tc>
      </w:tr>
      <w:tr w14:paraId="20DEA191">
        <w:tblPrEx>
          <w:tblCellMar>
            <w:top w:w="0" w:type="dxa"/>
            <w:left w:w="108" w:type="dxa"/>
            <w:bottom w:w="0" w:type="dxa"/>
            <w:right w:w="108" w:type="dxa"/>
          </w:tblCellMar>
        </w:tblPrEx>
        <w:trPr>
          <w:trHeight w:val="62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A9141E1">
            <w:pPr>
              <w:widowControl/>
              <w:jc w:val="left"/>
              <w:rPr>
                <w:rFonts w:hint="eastAsia"/>
                <w:kern w:val="0"/>
                <w:sz w:val="24"/>
                <w:szCs w:val="24"/>
              </w:rPr>
            </w:pPr>
            <w:r>
              <w:rPr>
                <w:rFonts w:hint="eastAsia"/>
                <w:kern w:val="0"/>
                <w:sz w:val="24"/>
                <w:szCs w:val="24"/>
              </w:rPr>
              <w:t>宁河区</w:t>
            </w:r>
          </w:p>
        </w:tc>
        <w:tc>
          <w:tcPr>
            <w:tcW w:w="12378" w:type="dxa"/>
            <w:tcBorders>
              <w:top w:val="single" w:color="auto" w:sz="4" w:space="0"/>
              <w:left w:val="nil"/>
              <w:bottom w:val="single" w:color="auto" w:sz="4" w:space="0"/>
              <w:right w:val="single" w:color="auto" w:sz="4" w:space="0"/>
            </w:tcBorders>
            <w:noWrap w:val="0"/>
            <w:vAlign w:val="center"/>
          </w:tcPr>
          <w:p w14:paraId="64311417">
            <w:pPr>
              <w:widowControl/>
              <w:jc w:val="left"/>
              <w:rPr>
                <w:rFonts w:hint="eastAsia"/>
                <w:kern w:val="0"/>
                <w:sz w:val="24"/>
                <w:szCs w:val="24"/>
              </w:rPr>
            </w:pPr>
            <w:r>
              <w:rPr>
                <w:rFonts w:hint="eastAsia"/>
                <w:kern w:val="0"/>
                <w:sz w:val="24"/>
                <w:szCs w:val="24"/>
              </w:rPr>
              <w:t>支持农村“厕所革命”；支持农村生活污水处理设施建设运行维护；支持“百千工程”示范村建设（人居环境整治示范村建设）；</w:t>
            </w:r>
            <w:r>
              <w:rPr>
                <w:kern w:val="0"/>
                <w:sz w:val="24"/>
                <w:szCs w:val="24"/>
                <w:lang w:val="en"/>
              </w:rPr>
              <w:t>乡村振兴示范村创建（市级政策）</w:t>
            </w:r>
            <w:r>
              <w:rPr>
                <w:rFonts w:hint="eastAsia"/>
                <w:kern w:val="0"/>
                <w:sz w:val="24"/>
                <w:szCs w:val="24"/>
                <w:lang w:val="en"/>
              </w:rPr>
              <w:t>；农村公益事业建设奖补资金</w:t>
            </w:r>
            <w:r>
              <w:rPr>
                <w:rFonts w:hint="eastAsia"/>
                <w:kern w:val="0"/>
                <w:sz w:val="24"/>
                <w:szCs w:val="24"/>
              </w:rPr>
              <w:t xml:space="preserve">。 </w:t>
            </w:r>
          </w:p>
        </w:tc>
      </w:tr>
      <w:tr w14:paraId="06B1E526">
        <w:tblPrEx>
          <w:tblCellMar>
            <w:top w:w="0" w:type="dxa"/>
            <w:left w:w="108" w:type="dxa"/>
            <w:bottom w:w="0" w:type="dxa"/>
            <w:right w:w="108" w:type="dxa"/>
          </w:tblCellMar>
        </w:tblPrEx>
        <w:trPr>
          <w:trHeight w:val="69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6059E99F">
            <w:pPr>
              <w:widowControl/>
              <w:jc w:val="left"/>
              <w:rPr>
                <w:rFonts w:hint="eastAsia"/>
                <w:kern w:val="0"/>
                <w:sz w:val="24"/>
                <w:szCs w:val="24"/>
              </w:rPr>
            </w:pPr>
            <w:r>
              <w:rPr>
                <w:rFonts w:hint="eastAsia"/>
                <w:kern w:val="0"/>
                <w:sz w:val="24"/>
                <w:szCs w:val="24"/>
              </w:rPr>
              <w:t>静海区</w:t>
            </w:r>
          </w:p>
        </w:tc>
        <w:tc>
          <w:tcPr>
            <w:tcW w:w="12378" w:type="dxa"/>
            <w:tcBorders>
              <w:top w:val="single" w:color="auto" w:sz="4" w:space="0"/>
              <w:left w:val="nil"/>
              <w:bottom w:val="single" w:color="auto" w:sz="4" w:space="0"/>
              <w:right w:val="single" w:color="auto" w:sz="4" w:space="0"/>
            </w:tcBorders>
            <w:noWrap w:val="0"/>
            <w:vAlign w:val="center"/>
          </w:tcPr>
          <w:p w14:paraId="03298105">
            <w:pPr>
              <w:widowControl/>
              <w:jc w:val="left"/>
              <w:rPr>
                <w:rFonts w:hint="eastAsia"/>
                <w:kern w:val="0"/>
                <w:sz w:val="24"/>
                <w:szCs w:val="24"/>
              </w:rPr>
            </w:pPr>
            <w:r>
              <w:rPr>
                <w:rFonts w:hint="eastAsia"/>
                <w:kern w:val="0"/>
                <w:sz w:val="24"/>
                <w:szCs w:val="24"/>
              </w:rPr>
              <w:t>支持农村“厕所革命”；支持农村生活污水处理设施建设运行维护；支持“百千工程”示范村建设（人居环境整治示范村建设）；</w:t>
            </w:r>
            <w:r>
              <w:rPr>
                <w:kern w:val="0"/>
                <w:sz w:val="24"/>
                <w:szCs w:val="24"/>
                <w:lang w:val="en"/>
              </w:rPr>
              <w:t>乡村振兴示范村创建（市级政策）</w:t>
            </w:r>
            <w:r>
              <w:rPr>
                <w:rFonts w:hint="eastAsia"/>
                <w:kern w:val="0"/>
                <w:sz w:val="24"/>
                <w:szCs w:val="24"/>
                <w:lang w:val="en" w:eastAsia="zh-CN"/>
              </w:rPr>
              <w:t>；红色美丽村庄试点建设</w:t>
            </w:r>
            <w:r>
              <w:rPr>
                <w:rFonts w:hint="eastAsia"/>
                <w:kern w:val="0"/>
                <w:sz w:val="24"/>
                <w:szCs w:val="24"/>
              </w:rPr>
              <w:t xml:space="preserve">。 </w:t>
            </w:r>
          </w:p>
        </w:tc>
      </w:tr>
      <w:tr w14:paraId="77069FAF">
        <w:tblPrEx>
          <w:tblCellMar>
            <w:top w:w="0" w:type="dxa"/>
            <w:left w:w="108" w:type="dxa"/>
            <w:bottom w:w="0" w:type="dxa"/>
            <w:right w:w="108" w:type="dxa"/>
          </w:tblCellMar>
        </w:tblPrEx>
        <w:trPr>
          <w:trHeight w:val="587"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3B0B0007">
            <w:pPr>
              <w:widowControl/>
              <w:jc w:val="left"/>
              <w:rPr>
                <w:rFonts w:hint="eastAsia"/>
                <w:kern w:val="0"/>
                <w:sz w:val="24"/>
                <w:szCs w:val="24"/>
              </w:rPr>
            </w:pPr>
            <w:r>
              <w:rPr>
                <w:rFonts w:hint="eastAsia"/>
                <w:kern w:val="0"/>
                <w:sz w:val="24"/>
                <w:szCs w:val="24"/>
              </w:rPr>
              <w:t>津南区</w:t>
            </w:r>
          </w:p>
        </w:tc>
        <w:tc>
          <w:tcPr>
            <w:tcW w:w="12378" w:type="dxa"/>
            <w:tcBorders>
              <w:top w:val="single" w:color="auto" w:sz="4" w:space="0"/>
              <w:left w:val="nil"/>
              <w:bottom w:val="single" w:color="auto" w:sz="4" w:space="0"/>
              <w:right w:val="single" w:color="auto" w:sz="4" w:space="0"/>
            </w:tcBorders>
            <w:noWrap w:val="0"/>
            <w:vAlign w:val="center"/>
          </w:tcPr>
          <w:p w14:paraId="22E5EEC8">
            <w:pPr>
              <w:widowControl/>
              <w:jc w:val="left"/>
              <w:rPr>
                <w:rFonts w:hint="eastAsia"/>
                <w:kern w:val="0"/>
                <w:sz w:val="24"/>
                <w:szCs w:val="24"/>
              </w:rPr>
            </w:pPr>
            <w:r>
              <w:rPr>
                <w:rFonts w:hint="eastAsia"/>
                <w:kern w:val="0"/>
                <w:sz w:val="24"/>
                <w:szCs w:val="24"/>
              </w:rPr>
              <w:t>支持农村生活污水处理设施运行维护；支持“百千工程”示范村建设（人居环境整治示范村建设）。</w:t>
            </w:r>
          </w:p>
        </w:tc>
      </w:tr>
      <w:tr w14:paraId="771CDE20">
        <w:tblPrEx>
          <w:tblCellMar>
            <w:top w:w="0" w:type="dxa"/>
            <w:left w:w="108" w:type="dxa"/>
            <w:bottom w:w="0" w:type="dxa"/>
            <w:right w:w="108" w:type="dxa"/>
          </w:tblCellMar>
        </w:tblPrEx>
        <w:trPr>
          <w:trHeight w:val="717"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7FC196E">
            <w:pPr>
              <w:widowControl/>
              <w:jc w:val="left"/>
              <w:rPr>
                <w:rFonts w:hint="eastAsia"/>
                <w:kern w:val="0"/>
                <w:sz w:val="24"/>
                <w:szCs w:val="24"/>
              </w:rPr>
            </w:pPr>
            <w:r>
              <w:rPr>
                <w:rFonts w:hint="eastAsia"/>
                <w:kern w:val="0"/>
                <w:sz w:val="24"/>
                <w:szCs w:val="24"/>
              </w:rPr>
              <w:t>西青区</w:t>
            </w:r>
          </w:p>
        </w:tc>
        <w:tc>
          <w:tcPr>
            <w:tcW w:w="12378" w:type="dxa"/>
            <w:tcBorders>
              <w:top w:val="single" w:color="auto" w:sz="4" w:space="0"/>
              <w:left w:val="nil"/>
              <w:bottom w:val="single" w:color="auto" w:sz="4" w:space="0"/>
              <w:right w:val="single" w:color="auto" w:sz="4" w:space="0"/>
            </w:tcBorders>
            <w:noWrap w:val="0"/>
            <w:vAlign w:val="center"/>
          </w:tcPr>
          <w:p w14:paraId="12614FCB">
            <w:pPr>
              <w:widowControl/>
              <w:jc w:val="left"/>
              <w:rPr>
                <w:rFonts w:hint="eastAsia"/>
                <w:kern w:val="0"/>
                <w:sz w:val="24"/>
                <w:szCs w:val="24"/>
              </w:rPr>
            </w:pPr>
            <w:r>
              <w:rPr>
                <w:rFonts w:hint="eastAsia"/>
                <w:kern w:val="0"/>
                <w:sz w:val="24"/>
                <w:szCs w:val="24"/>
              </w:rPr>
              <w:t>支持农村生活污水处理设施建设运行维护；支持“百千工程”示范村建设（人居环境整治示范村建设）；</w:t>
            </w:r>
            <w:r>
              <w:rPr>
                <w:kern w:val="0"/>
                <w:sz w:val="24"/>
                <w:szCs w:val="24"/>
                <w:lang w:val="en"/>
              </w:rPr>
              <w:t>乡村振兴示范村创建（市级政策）</w:t>
            </w:r>
            <w:r>
              <w:rPr>
                <w:rFonts w:hint="eastAsia"/>
                <w:kern w:val="0"/>
                <w:sz w:val="24"/>
                <w:szCs w:val="24"/>
              </w:rPr>
              <w:t>。</w:t>
            </w:r>
          </w:p>
        </w:tc>
      </w:tr>
      <w:tr w14:paraId="2D2945E1">
        <w:tblPrEx>
          <w:tblCellMar>
            <w:top w:w="0" w:type="dxa"/>
            <w:left w:w="108" w:type="dxa"/>
            <w:bottom w:w="0" w:type="dxa"/>
            <w:right w:w="108" w:type="dxa"/>
          </w:tblCellMar>
        </w:tblPrEx>
        <w:trPr>
          <w:trHeight w:val="721"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B56ABBC">
            <w:pPr>
              <w:widowControl/>
              <w:jc w:val="left"/>
              <w:rPr>
                <w:rFonts w:hint="eastAsia"/>
                <w:kern w:val="0"/>
                <w:sz w:val="24"/>
                <w:szCs w:val="24"/>
              </w:rPr>
            </w:pPr>
            <w:r>
              <w:rPr>
                <w:rFonts w:hint="eastAsia"/>
                <w:kern w:val="0"/>
                <w:sz w:val="24"/>
                <w:szCs w:val="24"/>
              </w:rPr>
              <w:t>北辰区</w:t>
            </w:r>
          </w:p>
        </w:tc>
        <w:tc>
          <w:tcPr>
            <w:tcW w:w="12378" w:type="dxa"/>
            <w:tcBorders>
              <w:top w:val="single" w:color="auto" w:sz="4" w:space="0"/>
              <w:left w:val="nil"/>
              <w:bottom w:val="single" w:color="auto" w:sz="4" w:space="0"/>
              <w:right w:val="single" w:color="auto" w:sz="4" w:space="0"/>
            </w:tcBorders>
            <w:noWrap w:val="0"/>
            <w:vAlign w:val="center"/>
          </w:tcPr>
          <w:p w14:paraId="504D22EE">
            <w:pPr>
              <w:widowControl/>
              <w:jc w:val="left"/>
              <w:rPr>
                <w:rFonts w:hint="eastAsia"/>
                <w:kern w:val="0"/>
                <w:sz w:val="24"/>
                <w:szCs w:val="24"/>
              </w:rPr>
            </w:pPr>
            <w:r>
              <w:rPr>
                <w:rFonts w:hint="eastAsia"/>
                <w:kern w:val="0"/>
                <w:sz w:val="24"/>
                <w:szCs w:val="24"/>
              </w:rPr>
              <w:t>支持农村生活污水处理设施建设运行维护；支持“百千工程”示范村建设（人居环境整治示范村建设）；实施支持欠发达革命老区乡村振兴示范区项目；</w:t>
            </w:r>
            <w:r>
              <w:rPr>
                <w:kern w:val="0"/>
                <w:sz w:val="24"/>
                <w:szCs w:val="24"/>
                <w:lang w:val="en"/>
              </w:rPr>
              <w:t>乡村振兴示范村创建（市级政策）</w:t>
            </w:r>
            <w:r>
              <w:rPr>
                <w:rFonts w:hint="eastAsia"/>
                <w:kern w:val="0"/>
                <w:sz w:val="24"/>
                <w:szCs w:val="24"/>
              </w:rPr>
              <w:t>。</w:t>
            </w:r>
          </w:p>
        </w:tc>
      </w:tr>
      <w:tr w14:paraId="6DC54DF0">
        <w:tblPrEx>
          <w:tblCellMar>
            <w:top w:w="0" w:type="dxa"/>
            <w:left w:w="108" w:type="dxa"/>
            <w:bottom w:w="0" w:type="dxa"/>
            <w:right w:w="108" w:type="dxa"/>
          </w:tblCellMar>
        </w:tblPrEx>
        <w:trPr>
          <w:trHeight w:val="781"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31A6B708">
            <w:pPr>
              <w:widowControl/>
              <w:jc w:val="left"/>
              <w:rPr>
                <w:rFonts w:hint="eastAsia"/>
                <w:kern w:val="0"/>
                <w:sz w:val="24"/>
                <w:szCs w:val="24"/>
              </w:rPr>
            </w:pPr>
            <w:r>
              <w:rPr>
                <w:rFonts w:hint="eastAsia"/>
                <w:kern w:val="0"/>
                <w:sz w:val="24"/>
                <w:szCs w:val="24"/>
              </w:rPr>
              <w:t>滨海新区</w:t>
            </w:r>
          </w:p>
        </w:tc>
        <w:tc>
          <w:tcPr>
            <w:tcW w:w="12378" w:type="dxa"/>
            <w:tcBorders>
              <w:top w:val="single" w:color="auto" w:sz="4" w:space="0"/>
              <w:left w:val="nil"/>
              <w:bottom w:val="single" w:color="auto" w:sz="4" w:space="0"/>
              <w:right w:val="single" w:color="auto" w:sz="4" w:space="0"/>
            </w:tcBorders>
            <w:noWrap w:val="0"/>
            <w:vAlign w:val="center"/>
          </w:tcPr>
          <w:p w14:paraId="43B2B536">
            <w:pPr>
              <w:widowControl/>
              <w:jc w:val="left"/>
              <w:rPr>
                <w:rFonts w:hint="eastAsia"/>
                <w:kern w:val="0"/>
                <w:sz w:val="24"/>
                <w:szCs w:val="24"/>
              </w:rPr>
            </w:pPr>
            <w:r>
              <w:rPr>
                <w:rFonts w:hint="eastAsia"/>
                <w:kern w:val="0"/>
                <w:sz w:val="24"/>
                <w:szCs w:val="24"/>
              </w:rPr>
              <w:t>支持农村生活污水处理设施建设运行维护；支持“百千工程”示范村建设（人居环境整治示范村建设）；</w:t>
            </w:r>
            <w:r>
              <w:rPr>
                <w:kern w:val="0"/>
                <w:sz w:val="24"/>
                <w:szCs w:val="24"/>
                <w:lang w:val="en"/>
              </w:rPr>
              <w:t>乡村振兴示范村创建（市级政策）</w:t>
            </w:r>
            <w:r>
              <w:rPr>
                <w:rFonts w:hint="eastAsia"/>
                <w:kern w:val="0"/>
                <w:sz w:val="24"/>
                <w:szCs w:val="24"/>
              </w:rPr>
              <w:t>。</w:t>
            </w:r>
          </w:p>
        </w:tc>
      </w:tr>
    </w:tbl>
    <w:p w14:paraId="00DEBDF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0BB06D-3311-4884-BDA7-CECF6825983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7979C7D-3A5A-48A9-92D6-C677E69BB479}"/>
  </w:font>
  <w:font w:name="仿宋_GB2312">
    <w:panose1 w:val="02010609030101010101"/>
    <w:charset w:val="86"/>
    <w:family w:val="modern"/>
    <w:pitch w:val="default"/>
    <w:sig w:usb0="00000001" w:usb1="080E0000" w:usb2="00000000" w:usb3="00000000" w:csb0="00040000" w:csb1="00000000"/>
    <w:embedRegular r:id="rId3" w:fontKey="{C2E34634-DB52-4873-8872-25AD634E69FF}"/>
  </w:font>
  <w:font w:name="方正小标宋简体">
    <w:panose1 w:val="03000509000000000000"/>
    <w:charset w:val="86"/>
    <w:family w:val="auto"/>
    <w:pitch w:val="default"/>
    <w:sig w:usb0="00000001" w:usb1="080E0000" w:usb2="00000000" w:usb3="00000000" w:csb0="00040000" w:csb1="00000000"/>
    <w:embedRegular r:id="rId4" w:fontKey="{9A12BE40-38C2-4B24-AB56-1894C7B56BA9}"/>
  </w:font>
  <w:font w:name="方正楷体_GBK">
    <w:panose1 w:val="02000000000000000000"/>
    <w:charset w:val="86"/>
    <w:family w:val="auto"/>
    <w:pitch w:val="default"/>
    <w:sig w:usb0="800002BF" w:usb1="38CF7CFA" w:usb2="00000016" w:usb3="00000000" w:csb0="00040000" w:csb1="00000000"/>
    <w:embedRegular r:id="rId5" w:fontKey="{D1C4B7C9-C79D-43C1-823F-CFA3B045CE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87659">
    <w:pPr>
      <w:pStyle w:val="6"/>
      <w:jc w:val="right"/>
      <w:rPr>
        <w:rFonts w:hint="eastAsia"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A5AC5E">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17A5AC5E">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A0FF">
    <w:pPr>
      <w:pStyle w:val="6"/>
      <w:jc w:val="right"/>
      <w:rPr>
        <w:rFonts w:hint="eastAsia"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AD2834">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34</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31AD2834">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34</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B0410">
    <w:pPr>
      <w:pStyle w:val="6"/>
      <w:jc w:val="right"/>
      <w:rPr>
        <w:rFonts w:hint="eastAsia" w:ascii="宋体" w:hAnsi="宋体" w:eastAsia="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924083">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34</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E924083">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34</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CF61F">
    <w:pPr>
      <w:pStyle w:val="6"/>
      <w:jc w:val="right"/>
      <w:rPr>
        <w:rFonts w:hint="eastAsia" w:ascii="宋体" w:hAnsi="宋体" w:eastAsia="宋体"/>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46C01D">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34</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4846C01D">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34</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0D314">
    <w:pPr>
      <w:pStyle w:val="6"/>
      <w:jc w:val="right"/>
      <w:rPr>
        <w:rFonts w:hint="eastAsia" w:ascii="宋体" w:hAnsi="宋体"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DE79F3">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0CDE79F3">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32C4">
    <w:pPr>
      <w:pStyle w:val="6"/>
      <w:jc w:val="right"/>
      <w:rPr>
        <w:rFonts w:hint="eastAsia"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08B61E">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2A08B61E">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EE73A">
    <w:pPr>
      <w:pStyle w:val="6"/>
      <w:jc w:val="right"/>
      <w:rPr>
        <w:rFonts w:hint="eastAsia" w:ascii="宋体" w:hAnsi="宋体" w:eastAsia="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754F03">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4754F03">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65A9E">
    <w:pPr>
      <w:pStyle w:val="6"/>
      <w:jc w:val="right"/>
      <w:rPr>
        <w:rFonts w:hint="eastAsia" w:ascii="宋体" w:hAnsi="宋体" w:eastAsia="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BE61E0">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1BE61E0">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615F">
    <w:pPr>
      <w:pStyle w:val="6"/>
      <w:jc w:val="right"/>
      <w:rPr>
        <w:rFonts w:hint="eastAsia" w:ascii="宋体" w:hAnsi="宋体" w:eastAsia="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559696">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A559696">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96C60">
    <w:pPr>
      <w:pStyle w:val="6"/>
      <w:jc w:val="right"/>
      <w:rPr>
        <w:rFonts w:hint="eastAsia" w:ascii="宋体" w:hAnsi="宋体" w:eastAsia="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354EC8">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A354EC8">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45B32">
    <w:pPr>
      <w:pStyle w:val="6"/>
      <w:jc w:val="right"/>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B17FF1">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31</w:t>
                          </w:r>
                          <w:r>
                            <w:rPr>
                              <w:rFonts w:ascii="宋体" w:hAnsi="宋体" w:eastAsia="宋体"/>
                              <w:sz w:val="28"/>
                              <w:szCs w:val="28"/>
                            </w:rPr>
                            <w:fldChar w:fldCharType="end"/>
                          </w:r>
                          <w:r>
                            <w:rPr>
                              <w:rFonts w:hint="eastAsia" w:ascii="宋体" w:hAnsi="宋体" w:eastAsia="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5B17FF1">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31</w:t>
                    </w:r>
                    <w:r>
                      <w:rPr>
                        <w:rFonts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1E765">
    <w:pPr>
      <w:pStyle w:val="6"/>
      <w:jc w:val="right"/>
      <w:rPr>
        <w:rFonts w:hint="eastAsia" w:ascii="宋体" w:hAnsi="宋体" w:eastAsia="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69B4FD">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31</w:t>
                          </w:r>
                          <w:r>
                            <w:rPr>
                              <w:rFonts w:ascii="宋体" w:hAnsi="宋体" w:eastAsia="宋体"/>
                              <w:sz w:val="28"/>
                              <w:szCs w:val="28"/>
                            </w:rPr>
                            <w:fldChar w:fldCharType="end"/>
                          </w:r>
                          <w:r>
                            <w:rPr>
                              <w:rFonts w:hint="eastAsia" w:ascii="宋体" w:hAnsi="宋体" w:eastAsia="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569B4FD">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31</w:t>
                    </w:r>
                    <w:r>
                      <w:rPr>
                        <w:rFonts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FAD08"/>
    <w:multiLevelType w:val="singleLevel"/>
    <w:tmpl w:val="AD5FAD08"/>
    <w:lvl w:ilvl="0" w:tentative="0">
      <w:start w:val="6"/>
      <w:numFmt w:val="chineseCounting"/>
      <w:suff w:val="nothing"/>
      <w:lvlText w:val="%1、"/>
      <w:lvlJc w:val="left"/>
      <w:pPr>
        <w:ind w:left="640" w:firstLine="0"/>
      </w:pPr>
      <w:rPr>
        <w:rFonts w:hint="eastAsia"/>
      </w:rPr>
    </w:lvl>
  </w:abstractNum>
  <w:abstractNum w:abstractNumId="1">
    <w:nsid w:val="B73EB5BC"/>
    <w:multiLevelType w:val="singleLevel"/>
    <w:tmpl w:val="B73EB5BC"/>
    <w:lvl w:ilvl="0" w:tentative="0">
      <w:start w:val="1"/>
      <w:numFmt w:val="chineseCounting"/>
      <w:suff w:val="nothing"/>
      <w:lvlText w:val="%1、"/>
      <w:lvlJc w:val="left"/>
      <w:rPr>
        <w:rFonts w:hint="eastAsia"/>
      </w:rPr>
    </w:lvl>
  </w:abstractNum>
  <w:abstractNum w:abstractNumId="2">
    <w:nsid w:val="DF5AC4C1"/>
    <w:multiLevelType w:val="singleLevel"/>
    <w:tmpl w:val="DF5AC4C1"/>
    <w:lvl w:ilvl="0" w:tentative="0">
      <w:start w:val="1"/>
      <w:numFmt w:val="chineseCounting"/>
      <w:suff w:val="nothing"/>
      <w:lvlText w:val="%1、"/>
      <w:lvlJc w:val="left"/>
      <w:rPr>
        <w:rFonts w:hint="eastAsia"/>
      </w:rPr>
    </w:lvl>
  </w:abstractNum>
  <w:abstractNum w:abstractNumId="3">
    <w:nsid w:val="7BFECA63"/>
    <w:multiLevelType w:val="singleLevel"/>
    <w:tmpl w:val="7BFECA63"/>
    <w:lvl w:ilvl="0" w:tentative="0">
      <w:start w:val="1"/>
      <w:numFmt w:val="chineseCounting"/>
      <w:suff w:val="nothing"/>
      <w:lvlText w:val="%1、"/>
      <w:lvlJc w:val="left"/>
      <w:pPr>
        <w:ind w:left="640" w:firstLine="0"/>
      </w:pPr>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ZGZiYWEzZWQ4NGJhNDg0N2IyMGEzZThiYmI1YzIifQ=="/>
  </w:docVars>
  <w:rsids>
    <w:rsidRoot w:val="44B2074F"/>
    <w:rsid w:val="281448D1"/>
    <w:rsid w:val="34EC3BCC"/>
    <w:rsid w:val="44B2074F"/>
    <w:rsid w:val="639E415F"/>
    <w:rsid w:val="6CCA2C9D"/>
    <w:rsid w:val="6CE60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2"/>
    <w:basedOn w:val="4"/>
    <w:unhideWhenUsed/>
    <w:qFormat/>
    <w:uiPriority w:val="99"/>
    <w:pPr>
      <w:ind w:firstLine="420" w:firstLineChars="200"/>
    </w:pPr>
  </w:style>
  <w:style w:type="paragraph" w:styleId="4">
    <w:name w:val="Body Text Indent"/>
    <w:basedOn w:val="1"/>
    <w:qFormat/>
    <w:uiPriority w:val="0"/>
    <w:pPr>
      <w:ind w:left="1596" w:hanging="969"/>
    </w:pPr>
  </w:style>
  <w:style w:type="paragraph" w:styleId="5">
    <w:name w:val="Normal Indent"/>
    <w:basedOn w:val="1"/>
    <w:qFormat/>
    <w:uiPriority w:val="99"/>
    <w:pPr>
      <w:ind w:firstLine="420" w:firstLine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正文2"/>
    <w:next w:val="1"/>
    <w:autoRedefine/>
    <w:qFormat/>
    <w:uiPriority w:val="0"/>
    <w:pPr>
      <w:widowControl w:val="0"/>
      <w:jc w:val="both"/>
    </w:pPr>
    <w:rPr>
      <w:rFonts w:ascii="仿宋_GB2312" w:hAnsi="Calibri"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16575</Words>
  <Characters>17123</Characters>
  <Lines>0</Lines>
  <Paragraphs>0</Paragraphs>
  <TotalTime>1</TotalTime>
  <ScaleCrop>false</ScaleCrop>
  <LinksUpToDate>false</LinksUpToDate>
  <CharactersWithSpaces>17190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2024-05-21T00:49:00Z</dcterms:created>
  <dc:creator>jiangyongmeimei</dc:creator>
  <cp:lastModifiedBy>jiangyongmeimei</cp:lastModifiedBy>
  <dcterms:modified xsi:type="dcterms:W3CDTF">2025-07-08T06:10:17Z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FA178F190D26478D9D99C88788D3E4C2_13</vt:lpwstr>
  </property>
  <property fmtid="{D5CDD505-2E9C-101B-9397-08002B2CF9AE}" pid="4" name="KSOTemplateDocerSaveRecord">
    <vt:lpwstr>eyJoZGlkIjoiNGYyZGZiYWEzZWQ4NGJhNDg0N2IyMGEzZThiYmI1YzIiLCJ1c2VySWQiOiIxMjI2NDE2MDkwIn0=</vt:lpwstr>
  </property>
</Properties>
</file>