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附件1：</w:t>
      </w:r>
    </w:p>
    <w:p>
      <w:pPr>
        <w:spacing w:line="400" w:lineRule="exact"/>
        <w:jc w:val="center"/>
        <w:rPr>
          <w:rFonts w:hint="default" w:ascii="Times New Roman" w:hAnsi="Times New Roman" w:eastAsia="华文中宋" w:cs="Times New Roman"/>
          <w:bCs/>
          <w:color w:val="000000"/>
          <w:w w:val="90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color w:val="000000"/>
          <w:w w:val="90"/>
          <w:sz w:val="32"/>
          <w:szCs w:val="32"/>
        </w:rPr>
        <w:t>农业主导品种和主推技术推荐汇总表</w:t>
      </w:r>
    </w:p>
    <w:p>
      <w:pPr>
        <w:spacing w:after="156" w:afterLines="50" w:line="500" w:lineRule="exact"/>
        <w:rPr>
          <w:rFonts w:hint="default" w:ascii="Times New Roman" w:hAnsi="Times New Roman" w:eastAsia="黑体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汇总单位（盖章）：             填报人：               电话：</w:t>
      </w:r>
    </w:p>
    <w:tbl>
      <w:tblPr>
        <w:tblStyle w:val="3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32"/>
        <w:gridCol w:w="34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4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农产品</w:t>
            </w:r>
          </w:p>
        </w:tc>
        <w:tc>
          <w:tcPr>
            <w:tcW w:w="1838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品种名称</w:t>
            </w:r>
          </w:p>
        </w:tc>
        <w:tc>
          <w:tcPr>
            <w:tcW w:w="2016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技术名称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16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1145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综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合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28"/>
                <w:szCs w:val="32"/>
              </w:rPr>
              <w:t>术</w:t>
            </w:r>
          </w:p>
        </w:tc>
        <w:tc>
          <w:tcPr>
            <w:tcW w:w="3854" w:type="pct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2686F08"/>
    <w:rsid w:val="426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2024-01-09T00:51:00Z</dcterms:created>
  <dc:creator>jiangyongmeimei</dc:creator>
  <cp:lastModifiedBy>jiangyongmeimei</cp:lastModifiedBy>
  <dcterms:modified xsi:type="dcterms:W3CDTF">2024-01-09T00:51:42Z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0D3010406D0E4934BA54CFBA40E936F1_11</vt:lpwstr>
  </property>
</Properties>
</file>