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第十二批农业产业化经营市级重点龙头企业监测合格名单（13家）</w:t>
      </w:r>
    </w:p>
    <w:bookmarkEnd w:id="0"/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津南区2家</w:t>
      </w:r>
    </w:p>
    <w:p>
      <w:pPr>
        <w:spacing w:line="540" w:lineRule="exact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天津津鑫永利冷冻食品有限公司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天津海食界国际贸易有限公司</w:t>
      </w:r>
    </w:p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北辰区1家</w:t>
      </w:r>
    </w:p>
    <w:p>
      <w:pPr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天津市启悦饲料有限责任公司</w:t>
      </w:r>
    </w:p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宝坻区1家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天津中发蜂业科技发展有限公司</w:t>
      </w:r>
    </w:p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武清区3家</w:t>
      </w:r>
    </w:p>
    <w:p>
      <w:pPr>
        <w:spacing w:line="54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/>
          <w:szCs w:val="24"/>
        </w:rPr>
        <w:t xml:space="preserve">      </w:t>
      </w:r>
      <w:r>
        <w:rPr>
          <w:rFonts w:hint="eastAsia" w:ascii="仿宋_GB2312" w:hAnsi="Times New Roman" w:eastAsia="仿宋_GB2312"/>
          <w:sz w:val="32"/>
          <w:szCs w:val="32"/>
        </w:rPr>
        <w:t>颐正源（天津）生态农业科技有限公司（更名）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天津市百圣奶牛养殖有限公司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天津伊利乳品有限责任公司</w:t>
      </w:r>
    </w:p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静海区2家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天津耕德现代农业发展（集团）有限公司</w:t>
      </w:r>
    </w:p>
    <w:p>
      <w:pPr>
        <w:spacing w:line="540" w:lineRule="exact"/>
        <w:ind w:firstLine="640" w:firstLineChars="200"/>
        <w:jc w:val="left"/>
      </w:pPr>
      <w:r>
        <w:rPr>
          <w:rFonts w:ascii="仿宋_GB2312" w:hAnsi="Times New Roman" w:eastAsia="仿宋_GB2312"/>
          <w:sz w:val="32"/>
          <w:szCs w:val="32"/>
        </w:rPr>
        <w:t>天津海吉星农产品物流有限公司</w:t>
      </w:r>
    </w:p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滨海新区2家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天津港强集团有限公司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天津赛誉食品有限公司</w:t>
      </w:r>
    </w:p>
    <w:p>
      <w:pPr>
        <w:spacing w:line="540" w:lineRule="exact"/>
      </w:pPr>
      <w:r>
        <w:rPr>
          <w:rFonts w:hint="eastAsia" w:ascii="方正小标宋简体" w:hAnsi="Times New Roman" w:eastAsia="方正小标宋简体"/>
          <w:sz w:val="32"/>
          <w:szCs w:val="32"/>
        </w:rPr>
        <w:t>食品集团2家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天津立达海水资源开发有限公司</w:t>
      </w:r>
    </w:p>
    <w:p>
      <w:pPr>
        <w:spacing w:line="54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天津食品集团商贸有限公司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OGE4MWI4MDcwMWVjODUwMTU3NjMyYTk4ZDdkNjEifQ=="/>
  </w:docVars>
  <w:rsids>
    <w:rsidRoot w:val="020E338F"/>
    <w:rsid w:val="020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2022-12-23T09:27:00Z</dcterms:created>
  <dc:creator>jiangyongmeimei</dc:creator>
  <cp:lastModifiedBy>jiangyongmeimei</cp:lastModifiedBy>
  <dcterms:modified xsi:type="dcterms:W3CDTF">2022-12-23T09:28:05Z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4ED5E17973954460B8E1805DC7DDA848</vt:lpwstr>
  </property>
</Properties>
</file>