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F7EB4">
      <w:pPr>
        <w:spacing w:line="560" w:lineRule="exact"/>
        <w:rPr>
          <w:rFonts w:eastAsia="仿宋_GB2312"/>
          <w:sz w:val="32"/>
          <w:szCs w:val="32"/>
        </w:rPr>
      </w:pPr>
    </w:p>
    <w:p w14:paraId="21F89553">
      <w:pPr>
        <w:spacing w:line="440" w:lineRule="exact"/>
        <w:jc w:val="center"/>
        <w:rPr>
          <w:rFonts w:eastAsia="仿宋_GB2312"/>
          <w:sz w:val="32"/>
          <w:szCs w:val="32"/>
        </w:rPr>
      </w:pPr>
      <w:r>
        <w:rPr>
          <w:rFonts w:eastAsia="仿宋_GB2312"/>
          <w:sz w:val="32"/>
          <w:szCs w:val="32"/>
        </w:rPr>
        <w:t xml:space="preserve">                             津农委计财函〔202</w:t>
      </w:r>
      <w:r>
        <w:rPr>
          <w:rFonts w:hint="default" w:eastAsia="仿宋_GB2312"/>
          <w:sz w:val="32"/>
          <w:szCs w:val="32"/>
          <w:lang w:val="en"/>
        </w:rPr>
        <w:t>3</w:t>
      </w:r>
      <w:r>
        <w:rPr>
          <w:rFonts w:eastAsia="仿宋_GB2312"/>
          <w:sz w:val="32"/>
          <w:szCs w:val="32"/>
        </w:rPr>
        <w:t>〕</w:t>
      </w:r>
      <w:r>
        <w:rPr>
          <w:rFonts w:hint="default" w:eastAsia="仿宋_GB2312"/>
          <w:sz w:val="32"/>
          <w:szCs w:val="32"/>
          <w:lang w:val="en"/>
        </w:rPr>
        <w:t>**</w:t>
      </w:r>
      <w:r>
        <w:rPr>
          <w:rFonts w:eastAsia="仿宋_GB2312"/>
          <w:sz w:val="32"/>
          <w:szCs w:val="32"/>
        </w:rPr>
        <w:t>号</w:t>
      </w:r>
    </w:p>
    <w:p w14:paraId="776D58E0">
      <w:pPr>
        <w:spacing w:line="360" w:lineRule="exact"/>
        <w:jc w:val="center"/>
        <w:rPr>
          <w:rFonts w:eastAsia="仿宋_GB2312"/>
          <w:sz w:val="32"/>
          <w:szCs w:val="32"/>
        </w:rPr>
      </w:pPr>
    </w:p>
    <w:p w14:paraId="53E52678">
      <w:pPr>
        <w:spacing w:line="560" w:lineRule="exact"/>
        <w:jc w:val="center"/>
        <w:rPr>
          <w:rFonts w:eastAsia="方正小标宋简体"/>
          <w:kern w:val="0"/>
          <w:sz w:val="44"/>
          <w:szCs w:val="44"/>
        </w:rPr>
      </w:pPr>
      <w:r>
        <w:rPr>
          <w:rFonts w:eastAsia="方正小标宋简体"/>
          <w:kern w:val="0"/>
          <w:sz w:val="44"/>
          <w:szCs w:val="44"/>
        </w:rPr>
        <w:t>市农业农村委关于报送202</w:t>
      </w:r>
      <w:r>
        <w:rPr>
          <w:rFonts w:hint="default" w:eastAsia="方正小标宋简体"/>
          <w:kern w:val="0"/>
          <w:sz w:val="44"/>
          <w:szCs w:val="44"/>
          <w:lang w:val="en"/>
        </w:rPr>
        <w:t>2</w:t>
      </w:r>
      <w:r>
        <w:rPr>
          <w:rFonts w:eastAsia="方正小标宋简体"/>
          <w:kern w:val="0"/>
          <w:sz w:val="44"/>
          <w:szCs w:val="44"/>
        </w:rPr>
        <w:t>年度中央对地方农业</w:t>
      </w:r>
      <w:r>
        <w:rPr>
          <w:rFonts w:hint="eastAsia" w:eastAsia="方正小标宋简体"/>
          <w:kern w:val="0"/>
          <w:sz w:val="44"/>
          <w:szCs w:val="44"/>
        </w:rPr>
        <w:t>农村</w:t>
      </w:r>
      <w:r>
        <w:rPr>
          <w:rFonts w:eastAsia="方正小标宋简体"/>
          <w:kern w:val="0"/>
          <w:sz w:val="44"/>
          <w:szCs w:val="44"/>
        </w:rPr>
        <w:t>相关转移支付预算执行情况</w:t>
      </w:r>
    </w:p>
    <w:p w14:paraId="3BB2144A">
      <w:pPr>
        <w:spacing w:line="560" w:lineRule="exact"/>
        <w:jc w:val="center"/>
        <w:rPr>
          <w:rFonts w:eastAsia="仿宋_GB2312"/>
          <w:sz w:val="32"/>
          <w:szCs w:val="32"/>
        </w:rPr>
      </w:pPr>
      <w:r>
        <w:rPr>
          <w:rFonts w:eastAsia="方正小标宋简体"/>
          <w:kern w:val="0"/>
          <w:sz w:val="44"/>
          <w:szCs w:val="44"/>
        </w:rPr>
        <w:t>绩效自评材料的函</w:t>
      </w:r>
    </w:p>
    <w:p w14:paraId="2668E2AF">
      <w:pPr>
        <w:spacing w:line="560" w:lineRule="exact"/>
        <w:jc w:val="left"/>
        <w:rPr>
          <w:rFonts w:eastAsia="仿宋_GB2312"/>
          <w:sz w:val="32"/>
          <w:szCs w:val="32"/>
        </w:rPr>
      </w:pPr>
    </w:p>
    <w:p w14:paraId="52A09224">
      <w:pPr>
        <w:spacing w:line="560" w:lineRule="exact"/>
        <w:jc w:val="left"/>
        <w:rPr>
          <w:rFonts w:eastAsia="仿宋_GB2312"/>
          <w:sz w:val="32"/>
          <w:szCs w:val="32"/>
        </w:rPr>
      </w:pPr>
      <w:r>
        <w:rPr>
          <w:rFonts w:eastAsia="仿宋_GB2312"/>
          <w:sz w:val="32"/>
          <w:szCs w:val="32"/>
        </w:rPr>
        <w:t>市财政局：</w:t>
      </w:r>
    </w:p>
    <w:p w14:paraId="36B58598">
      <w:pPr>
        <w:spacing w:line="560" w:lineRule="exact"/>
        <w:ind w:firstLine="635"/>
        <w:jc w:val="left"/>
        <w:rPr>
          <w:rFonts w:eastAsia="仿宋_GB2312"/>
          <w:sz w:val="32"/>
          <w:szCs w:val="32"/>
        </w:rPr>
      </w:pPr>
      <w:r>
        <w:rPr>
          <w:rFonts w:eastAsia="仿宋_GB2312"/>
          <w:sz w:val="32"/>
          <w:szCs w:val="32"/>
        </w:rPr>
        <w:t>为深入贯彻落实中央和我市关于全面推进预算绩效管理工作部署和具体要求，按照《天津市财政局关于开展202</w:t>
      </w:r>
      <w:r>
        <w:rPr>
          <w:rFonts w:hint="default" w:eastAsia="仿宋_GB2312"/>
          <w:sz w:val="32"/>
          <w:szCs w:val="32"/>
          <w:lang w:val="en"/>
        </w:rPr>
        <w:t>2</w:t>
      </w:r>
      <w:r>
        <w:rPr>
          <w:rFonts w:eastAsia="仿宋_GB2312"/>
          <w:sz w:val="32"/>
          <w:szCs w:val="32"/>
        </w:rPr>
        <w:t>年度转移支付预算执行情况绩效自评工作的通知》（津财绩效〔202</w:t>
      </w:r>
      <w:r>
        <w:rPr>
          <w:rFonts w:hint="eastAsia" w:eastAsia="仿宋_GB2312"/>
          <w:sz w:val="32"/>
          <w:szCs w:val="32"/>
          <w:lang w:val="en-US" w:eastAsia="zh-CN"/>
        </w:rPr>
        <w:t>3</w:t>
      </w:r>
      <w:r>
        <w:rPr>
          <w:rFonts w:eastAsia="仿宋_GB2312"/>
          <w:sz w:val="32"/>
          <w:szCs w:val="32"/>
        </w:rPr>
        <w:t>〕</w:t>
      </w:r>
      <w:r>
        <w:rPr>
          <w:rFonts w:hint="eastAsia" w:eastAsia="仿宋_GB2312"/>
          <w:sz w:val="32"/>
          <w:szCs w:val="32"/>
          <w:lang w:val="en-US" w:eastAsia="zh-CN"/>
        </w:rPr>
        <w:t>6</w:t>
      </w:r>
      <w:r>
        <w:rPr>
          <w:rFonts w:eastAsia="仿宋_GB2312"/>
          <w:sz w:val="32"/>
          <w:szCs w:val="32"/>
        </w:rPr>
        <w:t>号）要求，我委组织各相关区开展了绩效自评工作。经整理汇总，形成了我市中央对地方农业生产发展资金等转移支付202</w:t>
      </w:r>
      <w:r>
        <w:rPr>
          <w:rFonts w:hint="eastAsia" w:eastAsia="仿宋_GB2312"/>
          <w:sz w:val="32"/>
          <w:szCs w:val="32"/>
          <w:lang w:val="en-US" w:eastAsia="zh-CN"/>
        </w:rPr>
        <w:t>2</w:t>
      </w:r>
      <w:r>
        <w:rPr>
          <w:rFonts w:eastAsia="仿宋_GB2312"/>
          <w:sz w:val="32"/>
          <w:szCs w:val="32"/>
        </w:rPr>
        <w:t>年度绩效自评报告，现报送贵局予以审核备案。</w:t>
      </w:r>
    </w:p>
    <w:p w14:paraId="6C119012">
      <w:pPr>
        <w:spacing w:line="560" w:lineRule="exact"/>
        <w:ind w:firstLine="645"/>
        <w:jc w:val="left"/>
        <w:rPr>
          <w:rFonts w:eastAsia="仿宋_GB2312"/>
          <w:sz w:val="32"/>
          <w:szCs w:val="32"/>
        </w:rPr>
      </w:pPr>
      <w:r>
        <w:rPr>
          <w:rFonts w:eastAsia="仿宋_GB2312"/>
          <w:sz w:val="32"/>
          <w:szCs w:val="32"/>
        </w:rPr>
        <w:t>此函。</w:t>
      </w:r>
    </w:p>
    <w:p w14:paraId="638C2301">
      <w:pPr>
        <w:spacing w:line="560" w:lineRule="exact"/>
        <w:ind w:firstLine="645"/>
        <w:jc w:val="left"/>
        <w:rPr>
          <w:rFonts w:eastAsia="仿宋_GB2312"/>
          <w:sz w:val="32"/>
          <w:szCs w:val="32"/>
        </w:rPr>
      </w:pPr>
    </w:p>
    <w:p w14:paraId="039CD821">
      <w:pPr>
        <w:spacing w:line="560" w:lineRule="exact"/>
        <w:ind w:left="1910" w:leftChars="300" w:hanging="1280" w:hangingChars="400"/>
        <w:rPr>
          <w:rFonts w:eastAsia="仿宋_GB2312"/>
          <w:sz w:val="32"/>
          <w:szCs w:val="32"/>
        </w:rPr>
      </w:pPr>
      <w:r>
        <w:rPr>
          <w:rFonts w:eastAsia="仿宋_GB2312"/>
          <w:sz w:val="32"/>
          <w:szCs w:val="32"/>
        </w:rPr>
        <w:t>附件：1.天津市农业生产发展资金转移支付202</w:t>
      </w:r>
      <w:r>
        <w:rPr>
          <w:rFonts w:hint="eastAsia" w:eastAsia="仿宋_GB2312"/>
          <w:sz w:val="32"/>
          <w:szCs w:val="32"/>
          <w:lang w:val="en-US" w:eastAsia="zh-CN"/>
        </w:rPr>
        <w:t>2</w:t>
      </w:r>
      <w:r>
        <w:rPr>
          <w:rFonts w:eastAsia="仿宋_GB2312"/>
          <w:sz w:val="32"/>
          <w:szCs w:val="32"/>
        </w:rPr>
        <w:t>年度绩效</w:t>
      </w:r>
    </w:p>
    <w:p w14:paraId="5D50931E">
      <w:pPr>
        <w:spacing w:line="560" w:lineRule="exact"/>
        <w:ind w:left="1910" w:leftChars="300" w:hanging="1280" w:hangingChars="400"/>
        <w:rPr>
          <w:rFonts w:eastAsia="仿宋_GB2312"/>
          <w:sz w:val="32"/>
          <w:szCs w:val="32"/>
        </w:rPr>
      </w:pPr>
      <w:r>
        <w:rPr>
          <w:rFonts w:eastAsia="仿宋_GB2312"/>
          <w:sz w:val="32"/>
          <w:szCs w:val="32"/>
        </w:rPr>
        <w:t xml:space="preserve">       自评报告</w:t>
      </w:r>
    </w:p>
    <w:p w14:paraId="35FC4ADA">
      <w:pPr>
        <w:spacing w:line="560" w:lineRule="exact"/>
        <w:ind w:left="1895" w:leftChars="750" w:hanging="320" w:hangingChars="100"/>
        <w:rPr>
          <w:rFonts w:hint="eastAsia" w:eastAsia="仿宋_GB2312"/>
          <w:sz w:val="32"/>
          <w:szCs w:val="32"/>
          <w:lang w:eastAsia="zh-CN"/>
        </w:rPr>
      </w:pPr>
      <w:r>
        <w:rPr>
          <w:rFonts w:eastAsia="仿宋_GB2312"/>
          <w:sz w:val="32"/>
          <w:szCs w:val="32"/>
        </w:rPr>
        <w:t>2.天津市农业资源及生态保护补助资金转移支202</w:t>
      </w:r>
      <w:r>
        <w:rPr>
          <w:rFonts w:hint="eastAsia" w:eastAsia="仿宋_GB2312"/>
          <w:sz w:val="32"/>
          <w:szCs w:val="32"/>
          <w:lang w:val="en-US" w:eastAsia="zh-CN"/>
        </w:rPr>
        <w:t>2</w:t>
      </w:r>
    </w:p>
    <w:p w14:paraId="7311B334">
      <w:pPr>
        <w:spacing w:line="560" w:lineRule="exact"/>
        <w:ind w:left="1895" w:leftChars="750" w:hanging="320" w:hangingChars="100"/>
        <w:rPr>
          <w:rFonts w:eastAsia="仿宋_GB2312"/>
          <w:sz w:val="32"/>
          <w:szCs w:val="32"/>
        </w:rPr>
      </w:pPr>
      <w:r>
        <w:rPr>
          <w:rFonts w:eastAsia="仿宋_GB2312"/>
          <w:sz w:val="32"/>
          <w:szCs w:val="32"/>
        </w:rPr>
        <w:t xml:space="preserve"> 年度绩效自评报告</w:t>
      </w:r>
    </w:p>
    <w:p w14:paraId="75AFE43C">
      <w:pPr>
        <w:spacing w:line="560" w:lineRule="exact"/>
        <w:ind w:left="1895" w:leftChars="750" w:hanging="320" w:hangingChars="100"/>
        <w:rPr>
          <w:rFonts w:eastAsia="仿宋_GB2312"/>
          <w:sz w:val="32"/>
          <w:szCs w:val="32"/>
        </w:rPr>
      </w:pPr>
      <w:r>
        <w:rPr>
          <w:rFonts w:eastAsia="仿宋_GB2312"/>
          <w:sz w:val="32"/>
          <w:szCs w:val="32"/>
        </w:rPr>
        <w:t>3.天津市动物防疫等补助经费转移支付202</w:t>
      </w:r>
      <w:r>
        <w:rPr>
          <w:rFonts w:hint="eastAsia" w:eastAsia="仿宋_GB2312"/>
          <w:sz w:val="32"/>
          <w:szCs w:val="32"/>
          <w:lang w:val="en-US" w:eastAsia="zh-CN"/>
        </w:rPr>
        <w:t>2</w:t>
      </w:r>
      <w:r>
        <w:rPr>
          <w:rFonts w:eastAsia="仿宋_GB2312"/>
          <w:sz w:val="32"/>
          <w:szCs w:val="32"/>
        </w:rPr>
        <w:t>年度绩</w:t>
      </w:r>
    </w:p>
    <w:p w14:paraId="7EF89495">
      <w:pPr>
        <w:spacing w:line="560" w:lineRule="exact"/>
        <w:ind w:left="1895" w:leftChars="750" w:hanging="320" w:hangingChars="100"/>
        <w:rPr>
          <w:rFonts w:eastAsia="仿宋_GB2312"/>
          <w:sz w:val="32"/>
          <w:szCs w:val="32"/>
        </w:rPr>
      </w:pPr>
      <w:r>
        <w:rPr>
          <w:rFonts w:eastAsia="仿宋_GB2312"/>
          <w:sz w:val="32"/>
          <w:szCs w:val="32"/>
        </w:rPr>
        <w:t xml:space="preserve"> 效自评报告</w:t>
      </w:r>
    </w:p>
    <w:p w14:paraId="4B28FC52">
      <w:pPr>
        <w:spacing w:line="560" w:lineRule="exact"/>
        <w:ind w:firstLine="1280" w:firstLineChars="400"/>
        <w:rPr>
          <w:rFonts w:eastAsia="仿宋_GB2312"/>
          <w:sz w:val="32"/>
          <w:szCs w:val="32"/>
        </w:rPr>
      </w:pPr>
      <w:r>
        <w:rPr>
          <w:rFonts w:eastAsia="仿宋_GB2312"/>
          <w:sz w:val="32"/>
          <w:szCs w:val="32"/>
        </w:rPr>
        <w:t>4.天津市农业生产和水利救灾资金转移支付202</w:t>
      </w:r>
      <w:r>
        <w:rPr>
          <w:rFonts w:hint="eastAsia" w:eastAsia="仿宋_GB2312"/>
          <w:sz w:val="32"/>
          <w:szCs w:val="32"/>
          <w:lang w:val="en-US" w:eastAsia="zh-CN"/>
        </w:rPr>
        <w:t>2</w:t>
      </w:r>
      <w:r>
        <w:rPr>
          <w:rFonts w:eastAsia="仿宋_GB2312"/>
          <w:sz w:val="32"/>
          <w:szCs w:val="32"/>
        </w:rPr>
        <w:t>年</w:t>
      </w:r>
    </w:p>
    <w:p w14:paraId="6F4AFF68">
      <w:pPr>
        <w:spacing w:line="560" w:lineRule="exact"/>
        <w:ind w:left="1365" w:leftChars="650" w:firstLine="160" w:firstLineChars="50"/>
        <w:rPr>
          <w:rFonts w:eastAsia="仿宋_GB2312"/>
          <w:sz w:val="32"/>
          <w:szCs w:val="32"/>
        </w:rPr>
      </w:pPr>
      <w:r>
        <w:rPr>
          <w:rFonts w:eastAsia="仿宋_GB2312"/>
          <w:sz w:val="32"/>
          <w:szCs w:val="32"/>
        </w:rPr>
        <w:t>度绩效自评报告</w:t>
      </w:r>
    </w:p>
    <w:p w14:paraId="67CC753B">
      <w:pPr>
        <w:spacing w:line="560" w:lineRule="exact"/>
        <w:ind w:firstLine="1280" w:firstLineChars="400"/>
        <w:rPr>
          <w:rFonts w:eastAsia="仿宋_GB2312"/>
          <w:sz w:val="32"/>
          <w:szCs w:val="32"/>
        </w:rPr>
      </w:pPr>
      <w:r>
        <w:rPr>
          <w:rFonts w:eastAsia="仿宋_GB2312"/>
          <w:sz w:val="32"/>
          <w:szCs w:val="32"/>
        </w:rPr>
        <w:t>5.天津市农田建设补助资金转移支付202</w:t>
      </w:r>
      <w:r>
        <w:rPr>
          <w:rFonts w:hint="eastAsia" w:eastAsia="仿宋_GB2312"/>
          <w:sz w:val="32"/>
          <w:szCs w:val="32"/>
          <w:lang w:val="en-US" w:eastAsia="zh-CN"/>
        </w:rPr>
        <w:t>2</w:t>
      </w:r>
      <w:r>
        <w:rPr>
          <w:rFonts w:eastAsia="仿宋_GB2312"/>
          <w:sz w:val="32"/>
          <w:szCs w:val="32"/>
        </w:rPr>
        <w:t>年度绩效</w:t>
      </w:r>
    </w:p>
    <w:p w14:paraId="05F9209D">
      <w:pPr>
        <w:spacing w:line="560" w:lineRule="exact"/>
        <w:ind w:left="1365" w:leftChars="650" w:firstLine="160" w:firstLineChars="50"/>
        <w:rPr>
          <w:rFonts w:eastAsia="仿宋_GB2312"/>
          <w:sz w:val="32"/>
          <w:szCs w:val="32"/>
        </w:rPr>
      </w:pPr>
      <w:r>
        <w:rPr>
          <w:rFonts w:eastAsia="仿宋_GB2312"/>
          <w:sz w:val="32"/>
          <w:szCs w:val="32"/>
        </w:rPr>
        <w:t>自评报告</w:t>
      </w:r>
    </w:p>
    <w:p w14:paraId="2E9B7FFB">
      <w:pPr>
        <w:spacing w:line="560" w:lineRule="exact"/>
        <w:ind w:left="1597" w:leftChars="608" w:hanging="320" w:hangingChars="100"/>
        <w:rPr>
          <w:rFonts w:eastAsia="仿宋_GB2312"/>
          <w:sz w:val="32"/>
          <w:szCs w:val="32"/>
        </w:rPr>
      </w:pPr>
      <w:r>
        <w:rPr>
          <w:rFonts w:eastAsia="仿宋_GB2312"/>
          <w:sz w:val="32"/>
          <w:szCs w:val="32"/>
        </w:rPr>
        <w:t>6.天津市渔业发展补助资金转移支付202</w:t>
      </w:r>
      <w:r>
        <w:rPr>
          <w:rFonts w:hint="eastAsia" w:eastAsia="仿宋_GB2312"/>
          <w:sz w:val="32"/>
          <w:szCs w:val="32"/>
          <w:lang w:val="en-US" w:eastAsia="zh-CN"/>
        </w:rPr>
        <w:t>2</w:t>
      </w:r>
      <w:r>
        <w:rPr>
          <w:rFonts w:eastAsia="仿宋_GB2312"/>
          <w:sz w:val="32"/>
          <w:szCs w:val="32"/>
        </w:rPr>
        <w:t>年度绩效</w:t>
      </w:r>
    </w:p>
    <w:p w14:paraId="489E4B87">
      <w:pPr>
        <w:spacing w:line="560" w:lineRule="exact"/>
        <w:ind w:left="1487" w:leftChars="708"/>
        <w:rPr>
          <w:rFonts w:eastAsia="仿宋_GB2312"/>
          <w:sz w:val="32"/>
          <w:szCs w:val="32"/>
        </w:rPr>
      </w:pPr>
      <w:r>
        <w:rPr>
          <w:rFonts w:eastAsia="仿宋_GB2312"/>
          <w:sz w:val="32"/>
          <w:szCs w:val="32"/>
        </w:rPr>
        <w:t>自评报告</w:t>
      </w:r>
    </w:p>
    <w:p w14:paraId="356EC3CB">
      <w:pPr>
        <w:spacing w:line="560" w:lineRule="exact"/>
        <w:ind w:left="1420" w:leftChars="600" w:hanging="160" w:hangingChars="50"/>
        <w:rPr>
          <w:rFonts w:eastAsia="仿宋_GB2312"/>
          <w:color w:val="auto"/>
          <w:sz w:val="32"/>
          <w:szCs w:val="32"/>
        </w:rPr>
      </w:pPr>
      <w:r>
        <w:rPr>
          <w:rFonts w:eastAsia="仿宋_GB2312"/>
          <w:color w:val="auto"/>
          <w:sz w:val="32"/>
          <w:szCs w:val="32"/>
        </w:rPr>
        <w:t>7.天津市农业保险保费补贴转移支付202</w:t>
      </w:r>
      <w:r>
        <w:rPr>
          <w:rFonts w:hint="eastAsia" w:eastAsia="仿宋_GB2312"/>
          <w:color w:val="auto"/>
          <w:sz w:val="32"/>
          <w:szCs w:val="32"/>
          <w:lang w:val="en-US" w:eastAsia="zh-CN"/>
        </w:rPr>
        <w:t>2</w:t>
      </w:r>
      <w:r>
        <w:rPr>
          <w:rFonts w:eastAsia="仿宋_GB2312"/>
          <w:color w:val="auto"/>
          <w:sz w:val="32"/>
          <w:szCs w:val="32"/>
        </w:rPr>
        <w:t>年度绩效</w:t>
      </w:r>
    </w:p>
    <w:p w14:paraId="3FECA7B8">
      <w:pPr>
        <w:spacing w:line="560" w:lineRule="exact"/>
        <w:ind w:left="1365" w:leftChars="650" w:firstLine="160" w:firstLineChars="50"/>
        <w:rPr>
          <w:rFonts w:eastAsia="仿宋_GB2312"/>
          <w:color w:val="auto"/>
          <w:sz w:val="32"/>
          <w:szCs w:val="32"/>
        </w:rPr>
      </w:pPr>
      <w:r>
        <w:rPr>
          <w:rFonts w:eastAsia="仿宋_GB2312"/>
          <w:color w:val="auto"/>
          <w:sz w:val="32"/>
          <w:szCs w:val="32"/>
        </w:rPr>
        <w:t>自评报告</w:t>
      </w:r>
    </w:p>
    <w:p w14:paraId="21D66E29">
      <w:pPr>
        <w:spacing w:line="560" w:lineRule="exact"/>
        <w:rPr>
          <w:rFonts w:hint="eastAsia" w:eastAsia="仿宋_GB2312"/>
          <w:color w:val="auto"/>
          <w:sz w:val="32"/>
          <w:szCs w:val="32"/>
          <w:lang w:val="en-US" w:eastAsia="zh-CN"/>
        </w:rPr>
      </w:pPr>
      <w:r>
        <w:rPr>
          <w:rFonts w:hint="eastAsia" w:eastAsia="仿宋_GB2312"/>
          <w:color w:val="auto"/>
          <w:sz w:val="32"/>
          <w:szCs w:val="32"/>
          <w:lang w:val="en-US" w:eastAsia="zh-CN"/>
        </w:rPr>
        <w:t xml:space="preserve">        8.天津市土地指标跨省域调剂收入安排的支出（支持农</w:t>
      </w:r>
    </w:p>
    <w:p w14:paraId="38FF907E">
      <w:pPr>
        <w:spacing w:line="560" w:lineRule="exact"/>
        <w:ind w:firstLine="1600" w:firstLineChars="500"/>
        <w:rPr>
          <w:rFonts w:hint="eastAsia" w:eastAsia="仿宋_GB2312"/>
          <w:color w:val="auto"/>
          <w:sz w:val="32"/>
          <w:szCs w:val="32"/>
          <w:lang w:val="en-US" w:eastAsia="zh-CN"/>
        </w:rPr>
      </w:pPr>
      <w:r>
        <w:rPr>
          <w:rFonts w:hint="eastAsia" w:eastAsia="仿宋_GB2312"/>
          <w:color w:val="auto"/>
          <w:sz w:val="32"/>
          <w:szCs w:val="32"/>
          <w:lang w:val="en-US" w:eastAsia="zh-CN"/>
        </w:rPr>
        <w:t>村厕所革命整村推进财政奖补）转移支付2022年度</w:t>
      </w:r>
    </w:p>
    <w:p w14:paraId="6473D718">
      <w:pPr>
        <w:spacing w:line="560" w:lineRule="exact"/>
        <w:ind w:firstLine="1600" w:firstLineChars="500"/>
        <w:rPr>
          <w:rFonts w:hint="eastAsia" w:eastAsia="仿宋_GB2312"/>
          <w:color w:val="auto"/>
          <w:sz w:val="32"/>
          <w:szCs w:val="32"/>
          <w:lang w:val="en-US" w:eastAsia="zh-CN"/>
        </w:rPr>
      </w:pPr>
      <w:r>
        <w:rPr>
          <w:rFonts w:hint="eastAsia" w:eastAsia="仿宋_GB2312"/>
          <w:color w:val="auto"/>
          <w:sz w:val="32"/>
          <w:szCs w:val="32"/>
          <w:lang w:val="en-US" w:eastAsia="zh-CN"/>
        </w:rPr>
        <w:t>绩效自评报告</w:t>
      </w:r>
    </w:p>
    <w:p w14:paraId="42066DEB">
      <w:pPr>
        <w:spacing w:line="560" w:lineRule="exact"/>
        <w:rPr>
          <w:rFonts w:hint="eastAsia" w:eastAsia="仿宋_GB2312"/>
          <w:color w:val="auto"/>
          <w:sz w:val="32"/>
          <w:szCs w:val="32"/>
          <w:lang w:val="en-US" w:eastAsia="zh-CN"/>
        </w:rPr>
      </w:pPr>
      <w:r>
        <w:rPr>
          <w:rFonts w:hint="eastAsia" w:eastAsia="仿宋_GB2312"/>
          <w:color w:val="auto"/>
          <w:sz w:val="32"/>
          <w:szCs w:val="32"/>
          <w:lang w:val="en-US" w:eastAsia="zh-CN"/>
        </w:rPr>
        <w:t xml:space="preserve">        9.天津市农村综合改革转移支付资金2022年度绩效自</w:t>
      </w:r>
    </w:p>
    <w:p w14:paraId="5C51DD8C">
      <w:pPr>
        <w:spacing w:line="560" w:lineRule="exact"/>
        <w:ind w:firstLine="1600" w:firstLineChars="500"/>
        <w:rPr>
          <w:rFonts w:hint="default" w:eastAsia="仿宋_GB2312"/>
          <w:color w:val="auto"/>
          <w:sz w:val="32"/>
          <w:szCs w:val="32"/>
          <w:lang w:val="en-US" w:eastAsia="zh-CN"/>
        </w:rPr>
      </w:pPr>
      <w:r>
        <w:rPr>
          <w:rFonts w:hint="eastAsia" w:eastAsia="仿宋_GB2312"/>
          <w:color w:val="auto"/>
          <w:sz w:val="32"/>
          <w:szCs w:val="32"/>
          <w:lang w:val="en-US" w:eastAsia="zh-CN"/>
        </w:rPr>
        <w:t>评报告</w:t>
      </w:r>
    </w:p>
    <w:p w14:paraId="4EB3921A">
      <w:pPr>
        <w:spacing w:line="520" w:lineRule="exact"/>
        <w:ind w:firstLine="2080" w:firstLineChars="650"/>
        <w:jc w:val="left"/>
        <w:rPr>
          <w:rFonts w:eastAsia="仿宋_GB2312"/>
          <w:color w:val="auto"/>
          <w:sz w:val="32"/>
          <w:szCs w:val="32"/>
        </w:rPr>
      </w:pPr>
    </w:p>
    <w:p w14:paraId="01B51765">
      <w:pPr>
        <w:spacing w:line="520" w:lineRule="exact"/>
        <w:ind w:firstLine="2080" w:firstLineChars="650"/>
        <w:jc w:val="left"/>
        <w:rPr>
          <w:rFonts w:eastAsia="仿宋_GB2312"/>
          <w:color w:val="auto"/>
          <w:sz w:val="32"/>
          <w:szCs w:val="32"/>
        </w:rPr>
      </w:pPr>
    </w:p>
    <w:p w14:paraId="5F738016">
      <w:pPr>
        <w:spacing w:line="520" w:lineRule="exact"/>
        <w:ind w:firstLine="2080" w:firstLineChars="650"/>
        <w:jc w:val="left"/>
        <w:rPr>
          <w:rFonts w:eastAsia="仿宋_GB2312"/>
          <w:sz w:val="32"/>
          <w:szCs w:val="32"/>
        </w:rPr>
      </w:pPr>
    </w:p>
    <w:p w14:paraId="17A47688">
      <w:pPr>
        <w:spacing w:line="560" w:lineRule="exact"/>
        <w:ind w:firstLine="645"/>
        <w:jc w:val="left"/>
        <w:rPr>
          <w:rFonts w:eastAsia="仿宋_GB2312"/>
          <w:sz w:val="32"/>
          <w:szCs w:val="32"/>
        </w:rPr>
      </w:pPr>
      <w:r>
        <w:rPr>
          <w:rFonts w:eastAsia="仿宋_GB2312"/>
          <w:sz w:val="32"/>
          <w:szCs w:val="32"/>
        </w:rPr>
        <w:t xml:space="preserve">                            202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lang w:val="en-US" w:eastAsia="zh-CN"/>
        </w:rPr>
        <w:t>5</w:t>
      </w:r>
      <w:r>
        <w:rPr>
          <w:rFonts w:eastAsia="仿宋_GB2312"/>
          <w:sz w:val="32"/>
          <w:szCs w:val="32"/>
        </w:rPr>
        <w:t>月</w:t>
      </w:r>
      <w:r>
        <w:rPr>
          <w:rFonts w:hint="eastAsia" w:eastAsia="仿宋_GB2312"/>
          <w:sz w:val="32"/>
          <w:szCs w:val="32"/>
          <w:lang w:val="en-US" w:eastAsia="zh-CN"/>
        </w:rPr>
        <w:t>18</w:t>
      </w:r>
      <w:r>
        <w:rPr>
          <w:rFonts w:eastAsia="仿宋_GB2312"/>
          <w:sz w:val="32"/>
          <w:szCs w:val="32"/>
        </w:rPr>
        <w:t>日</w:t>
      </w:r>
    </w:p>
    <w:p w14:paraId="4B31DA27">
      <w:pPr>
        <w:spacing w:line="560" w:lineRule="exact"/>
        <w:ind w:firstLine="640" w:firstLineChars="200"/>
        <w:jc w:val="left"/>
        <w:rPr>
          <w:rFonts w:eastAsia="仿宋_GB2312"/>
          <w:sz w:val="32"/>
          <w:szCs w:val="32"/>
        </w:rPr>
      </w:pPr>
      <w:r>
        <w:rPr>
          <w:rFonts w:eastAsia="仿宋_GB2312"/>
          <w:sz w:val="32"/>
          <w:szCs w:val="32"/>
        </w:rPr>
        <w:t>（联系人：</w:t>
      </w:r>
      <w:r>
        <w:rPr>
          <w:rFonts w:hint="eastAsia" w:eastAsia="仿宋_GB2312"/>
          <w:sz w:val="32"/>
          <w:szCs w:val="32"/>
          <w:lang w:eastAsia="zh-CN"/>
        </w:rPr>
        <w:t>闫</w:t>
      </w:r>
      <w:r>
        <w:rPr>
          <w:rFonts w:hint="eastAsia" w:eastAsia="仿宋_GB2312"/>
          <w:sz w:val="32"/>
          <w:szCs w:val="32"/>
          <w:lang w:val="en-US" w:eastAsia="zh-CN"/>
        </w:rPr>
        <w:t xml:space="preserve">  </w:t>
      </w:r>
      <w:r>
        <w:rPr>
          <w:rFonts w:hint="eastAsia" w:eastAsia="仿宋_GB2312"/>
          <w:sz w:val="32"/>
          <w:szCs w:val="32"/>
          <w:lang w:eastAsia="zh-CN"/>
        </w:rPr>
        <w:t>俏</w:t>
      </w:r>
      <w:r>
        <w:rPr>
          <w:rFonts w:eastAsia="仿宋_GB2312"/>
          <w:sz w:val="32"/>
          <w:szCs w:val="32"/>
        </w:rPr>
        <w:t>；联系方式：88</w:t>
      </w:r>
      <w:r>
        <w:rPr>
          <w:rFonts w:hint="eastAsia" w:eastAsia="仿宋_GB2312"/>
          <w:sz w:val="32"/>
          <w:szCs w:val="32"/>
          <w:lang w:val="en-US" w:eastAsia="zh-CN"/>
        </w:rPr>
        <w:t>133500</w:t>
      </w:r>
      <w:r>
        <w:rPr>
          <w:rFonts w:eastAsia="仿宋_GB2312"/>
          <w:sz w:val="32"/>
          <w:szCs w:val="32"/>
        </w:rPr>
        <w:t>）</w:t>
      </w:r>
    </w:p>
    <w:p w14:paraId="76F2E2A5">
      <w:pPr>
        <w:spacing w:line="560" w:lineRule="exact"/>
        <w:ind w:firstLine="640" w:firstLineChars="200"/>
        <w:jc w:val="left"/>
        <w:rPr>
          <w:rFonts w:eastAsia="仿宋_GB2312"/>
          <w:sz w:val="32"/>
          <w:szCs w:val="32"/>
        </w:rPr>
      </w:pPr>
      <w:r>
        <w:rPr>
          <w:rFonts w:eastAsia="仿宋_GB2312"/>
          <w:sz w:val="32"/>
          <w:szCs w:val="32"/>
        </w:rPr>
        <w:t>（此件依申请公开）</w:t>
      </w:r>
    </w:p>
    <w:p w14:paraId="47A3B350">
      <w:pPr>
        <w:rPr>
          <w:rFonts w:eastAsia="黑体"/>
          <w:bCs/>
          <w:sz w:val="30"/>
          <w:szCs w:val="44"/>
        </w:rPr>
      </w:pPr>
    </w:p>
    <w:p w14:paraId="626D5799">
      <w:pPr>
        <w:rPr>
          <w:rFonts w:eastAsia="黑体"/>
          <w:bCs/>
          <w:sz w:val="30"/>
          <w:szCs w:val="44"/>
        </w:rPr>
      </w:pPr>
    </w:p>
    <w:p w14:paraId="75AC5ECE">
      <w:pPr>
        <w:rPr>
          <w:rFonts w:eastAsia="黑体"/>
          <w:bCs/>
          <w:sz w:val="30"/>
          <w:szCs w:val="44"/>
        </w:rPr>
      </w:pPr>
    </w:p>
    <w:p w14:paraId="12A438CB">
      <w:pPr>
        <w:rPr>
          <w:rFonts w:eastAsia="黑体"/>
          <w:bCs/>
          <w:sz w:val="30"/>
          <w:szCs w:val="44"/>
        </w:rPr>
      </w:pPr>
    </w:p>
    <w:p w14:paraId="4C406BBE">
      <w:pPr>
        <w:rPr>
          <w:rFonts w:eastAsia="黑体"/>
          <w:bCs/>
          <w:sz w:val="30"/>
          <w:szCs w:val="44"/>
        </w:rPr>
      </w:pPr>
    </w:p>
    <w:p w14:paraId="4A17E025">
      <w:pPr>
        <w:rPr>
          <w:rFonts w:eastAsia="黑体"/>
          <w:bCs/>
          <w:sz w:val="30"/>
          <w:szCs w:val="44"/>
        </w:rPr>
      </w:pPr>
      <w:r>
        <w:rPr>
          <w:rFonts w:eastAsia="黑体"/>
          <w:bCs/>
          <w:sz w:val="30"/>
          <w:szCs w:val="44"/>
        </w:rPr>
        <w:t>附件1</w:t>
      </w:r>
    </w:p>
    <w:p w14:paraId="056CAC90">
      <w:pPr>
        <w:spacing w:line="560" w:lineRule="exact"/>
        <w:jc w:val="center"/>
        <w:rPr>
          <w:rFonts w:eastAsia="方正小标宋简体"/>
          <w:sz w:val="40"/>
          <w:szCs w:val="44"/>
        </w:rPr>
      </w:pPr>
      <w:r>
        <w:rPr>
          <w:rFonts w:eastAsia="方正小标宋简体"/>
          <w:sz w:val="40"/>
          <w:szCs w:val="44"/>
        </w:rPr>
        <w:t>天津市农业生产发展资金转移支付2022年度</w:t>
      </w:r>
    </w:p>
    <w:p w14:paraId="1D28F4D6">
      <w:pPr>
        <w:spacing w:line="560" w:lineRule="exact"/>
        <w:jc w:val="center"/>
        <w:rPr>
          <w:rFonts w:eastAsia="方正小标宋简体"/>
          <w:sz w:val="40"/>
          <w:szCs w:val="44"/>
        </w:rPr>
      </w:pPr>
      <w:r>
        <w:rPr>
          <w:rFonts w:eastAsia="方正小标宋简体"/>
          <w:sz w:val="40"/>
          <w:szCs w:val="44"/>
        </w:rPr>
        <w:t>绩效自评报告</w:t>
      </w:r>
    </w:p>
    <w:p w14:paraId="52DC1B82">
      <w:pPr>
        <w:spacing w:line="400" w:lineRule="exact"/>
        <w:ind w:firstLine="640" w:firstLineChars="200"/>
        <w:rPr>
          <w:rFonts w:eastAsia="黑体"/>
          <w:bCs/>
          <w:sz w:val="32"/>
          <w:szCs w:val="32"/>
        </w:rPr>
      </w:pPr>
    </w:p>
    <w:p w14:paraId="5F673A48">
      <w:pPr>
        <w:spacing w:line="560" w:lineRule="exact"/>
        <w:ind w:firstLine="640" w:firstLineChars="200"/>
        <w:rPr>
          <w:rFonts w:eastAsia="黑体"/>
          <w:bCs/>
          <w:sz w:val="32"/>
          <w:szCs w:val="32"/>
        </w:rPr>
      </w:pPr>
      <w:r>
        <w:rPr>
          <w:rFonts w:eastAsia="黑体"/>
          <w:bCs/>
          <w:sz w:val="32"/>
          <w:szCs w:val="32"/>
        </w:rPr>
        <w:t>一、绩效目标分解下达情况</w:t>
      </w:r>
    </w:p>
    <w:p w14:paraId="4DFDC2CD">
      <w:pPr>
        <w:spacing w:line="560" w:lineRule="exact"/>
        <w:ind w:firstLine="643" w:firstLineChars="200"/>
        <w:rPr>
          <w:rFonts w:eastAsia="仿宋_GB2312"/>
          <w:sz w:val="32"/>
          <w:szCs w:val="32"/>
        </w:rPr>
      </w:pPr>
      <w:r>
        <w:rPr>
          <w:rFonts w:eastAsia="楷体_GB2312"/>
          <w:b/>
          <w:sz w:val="32"/>
          <w:szCs w:val="32"/>
        </w:rPr>
        <w:t>（一）中央下达预算和绩效目标情况。</w:t>
      </w:r>
      <w:r>
        <w:rPr>
          <w:rFonts w:eastAsia="仿宋_GB2312"/>
          <w:sz w:val="32"/>
          <w:szCs w:val="32"/>
        </w:rPr>
        <w:t>2022年，中央下达我市农业生产发展资金转移支付预算82937万元（含实际种粮农民一次性补贴13199万元），下达区域绩效目标为：“按照相关规划或实施方案，根据任务清单并结合地方实际支持农业生产发展”。</w:t>
      </w:r>
    </w:p>
    <w:p w14:paraId="127604AD">
      <w:pPr>
        <w:spacing w:line="560" w:lineRule="exact"/>
        <w:ind w:firstLine="643" w:firstLineChars="200"/>
        <w:rPr>
          <w:rFonts w:eastAsia="仿宋_GB2312"/>
          <w:color w:val="000000"/>
          <w:sz w:val="32"/>
          <w:szCs w:val="32"/>
        </w:rPr>
      </w:pPr>
      <w:r>
        <w:rPr>
          <w:rFonts w:eastAsia="楷体_GB2312"/>
          <w:b/>
          <w:color w:val="000000"/>
          <w:sz w:val="32"/>
          <w:szCs w:val="32"/>
        </w:rPr>
        <w:t>（二）我市分解下达预算和绩效目标情况。</w:t>
      </w:r>
      <w:r>
        <w:rPr>
          <w:rFonts w:eastAsia="仿宋_GB2312"/>
          <w:sz w:val="32"/>
        </w:rPr>
        <w:t>按照《财政部关于提前下达2022年农业相关转移支付资金预算的通知》</w:t>
      </w:r>
      <w:r>
        <w:rPr>
          <w:rFonts w:eastAsia="仿宋_GB2312"/>
          <w:sz w:val="32"/>
          <w:szCs w:val="32"/>
        </w:rPr>
        <w:t>（财农〔2021〕114号）、《财政部关于下达2022年农业生产发展资金预算的通知》（财农〔2022〕38号）</w:t>
      </w:r>
      <w:r>
        <w:rPr>
          <w:rFonts w:hint="eastAsia" w:eastAsia="仿宋_GB2312"/>
          <w:sz w:val="32"/>
          <w:szCs w:val="32"/>
        </w:rPr>
        <w:t>、《财政部关于再次下达2</w:t>
      </w:r>
      <w:r>
        <w:rPr>
          <w:rFonts w:eastAsia="仿宋_GB2312"/>
          <w:sz w:val="32"/>
          <w:szCs w:val="32"/>
        </w:rPr>
        <w:t>022</w:t>
      </w:r>
      <w:r>
        <w:rPr>
          <w:rFonts w:hint="eastAsia" w:eastAsia="仿宋_GB2312"/>
          <w:sz w:val="32"/>
          <w:szCs w:val="32"/>
        </w:rPr>
        <w:t>年实际种粮农民一次性补贴资金预算的通知》（</w:t>
      </w:r>
      <w:r>
        <w:rPr>
          <w:rFonts w:eastAsia="仿宋_GB2312"/>
          <w:sz w:val="32"/>
          <w:szCs w:val="32"/>
        </w:rPr>
        <w:t>财农〔2022〕46号</w:t>
      </w:r>
      <w:r>
        <w:rPr>
          <w:rFonts w:hint="eastAsia" w:eastAsia="仿宋_GB2312"/>
          <w:sz w:val="32"/>
          <w:szCs w:val="32"/>
        </w:rPr>
        <w:t>）、《财政部关于再次下达2</w:t>
      </w:r>
      <w:r>
        <w:rPr>
          <w:rFonts w:eastAsia="仿宋_GB2312"/>
          <w:sz w:val="32"/>
          <w:szCs w:val="32"/>
        </w:rPr>
        <w:t>022</w:t>
      </w:r>
      <w:r>
        <w:rPr>
          <w:rFonts w:hint="eastAsia" w:eastAsia="仿宋_GB2312"/>
          <w:sz w:val="32"/>
          <w:szCs w:val="32"/>
        </w:rPr>
        <w:t>年实际种粮农民一次性补贴资金预算的通知》（</w:t>
      </w:r>
      <w:r>
        <w:rPr>
          <w:rFonts w:eastAsia="仿宋_GB2312"/>
          <w:sz w:val="32"/>
          <w:szCs w:val="32"/>
        </w:rPr>
        <w:t>财农〔2022〕74号</w:t>
      </w:r>
      <w:r>
        <w:rPr>
          <w:rFonts w:hint="eastAsia" w:eastAsia="仿宋_GB2312"/>
          <w:sz w:val="32"/>
          <w:szCs w:val="32"/>
        </w:rPr>
        <w:t>）</w:t>
      </w:r>
      <w:r>
        <w:rPr>
          <w:rFonts w:eastAsia="仿宋_GB2312"/>
          <w:sz w:val="32"/>
          <w:szCs w:val="32"/>
        </w:rPr>
        <w:t>要求，结合我市实际，</w:t>
      </w:r>
      <w:r>
        <w:rPr>
          <w:rFonts w:eastAsia="仿宋_GB2312"/>
          <w:color w:val="000000"/>
          <w:sz w:val="32"/>
          <w:szCs w:val="32"/>
        </w:rPr>
        <w:t>我市通过《天津市财政局关于提前下达中央</w:t>
      </w:r>
      <w:r>
        <w:rPr>
          <w:rFonts w:hint="eastAsia" w:eastAsia="仿宋_GB2312"/>
          <w:color w:val="000000"/>
          <w:sz w:val="32"/>
          <w:szCs w:val="32"/>
        </w:rPr>
        <w:t>和市</w:t>
      </w:r>
      <w:r>
        <w:rPr>
          <w:rFonts w:eastAsia="仿宋_GB2312"/>
          <w:color w:val="000000"/>
          <w:sz w:val="32"/>
          <w:szCs w:val="32"/>
        </w:rPr>
        <w:t>财政2022年农业农村专移支付预算</w:t>
      </w:r>
      <w:r>
        <w:rPr>
          <w:rFonts w:hint="eastAsia" w:eastAsia="仿宋_GB2312"/>
          <w:color w:val="000000"/>
          <w:sz w:val="32"/>
          <w:szCs w:val="32"/>
        </w:rPr>
        <w:t>指标</w:t>
      </w:r>
      <w:r>
        <w:rPr>
          <w:rFonts w:eastAsia="仿宋_GB2312"/>
          <w:color w:val="000000"/>
          <w:sz w:val="32"/>
          <w:szCs w:val="32"/>
        </w:rPr>
        <w:t>的通知》（津财农指〔2021〕47号）、《天津市财政局关于下达2022年中央财政农业生产发展等预算资金的通知》（津财农指〔2022〕12号）、《天津市财政局关于下达2022年中央财政农业生产发展（实际种粮农民一次性补贴）资金预算的通知》（津财农指〔2022〕3号）、《天津市财政局关于</w:t>
      </w:r>
      <w:r>
        <w:rPr>
          <w:rFonts w:hint="eastAsia" w:eastAsia="仿宋_GB2312"/>
          <w:color w:val="000000"/>
          <w:sz w:val="32"/>
          <w:szCs w:val="32"/>
        </w:rPr>
        <w:t>再次</w:t>
      </w:r>
      <w:r>
        <w:rPr>
          <w:rFonts w:eastAsia="仿宋_GB2312"/>
          <w:color w:val="000000"/>
          <w:sz w:val="32"/>
          <w:szCs w:val="32"/>
        </w:rPr>
        <w:t>下达2022年中央财政农业生产发展（实际种粮农民一次性补贴）资金预算的通知》（津财农指〔2022〕</w:t>
      </w:r>
      <w:r>
        <w:rPr>
          <w:rFonts w:hint="eastAsia" w:eastAsia="仿宋_GB2312"/>
          <w:color w:val="000000"/>
          <w:sz w:val="32"/>
          <w:szCs w:val="32"/>
        </w:rPr>
        <w:t>1</w:t>
      </w:r>
      <w:r>
        <w:rPr>
          <w:rFonts w:eastAsia="仿宋_GB2312"/>
          <w:color w:val="000000"/>
          <w:sz w:val="32"/>
          <w:szCs w:val="32"/>
        </w:rPr>
        <w:t>3号）</w:t>
      </w:r>
      <w:r>
        <w:rPr>
          <w:rFonts w:hint="eastAsia" w:eastAsia="仿宋_GB2312"/>
          <w:color w:val="000000"/>
          <w:sz w:val="32"/>
          <w:szCs w:val="32"/>
        </w:rPr>
        <w:t>、</w:t>
      </w:r>
      <w:r>
        <w:rPr>
          <w:rFonts w:eastAsia="仿宋_GB2312"/>
          <w:color w:val="000000"/>
          <w:sz w:val="32"/>
          <w:szCs w:val="32"/>
        </w:rPr>
        <w:t>《天津市财政局关于</w:t>
      </w:r>
      <w:r>
        <w:rPr>
          <w:rFonts w:hint="eastAsia" w:eastAsia="仿宋_GB2312"/>
          <w:color w:val="000000"/>
          <w:sz w:val="32"/>
          <w:szCs w:val="32"/>
        </w:rPr>
        <w:t>再次</w:t>
      </w:r>
      <w:r>
        <w:rPr>
          <w:rFonts w:eastAsia="仿宋_GB2312"/>
          <w:color w:val="000000"/>
          <w:sz w:val="32"/>
          <w:szCs w:val="32"/>
        </w:rPr>
        <w:t>下达2022年中央财政农业生产发展（实际种粮农民一次性补贴）资金预算的通知》（津财农指〔2022〕33号）等文件，及时将中央财政资金和绩效目标等同步分解下达，其中：</w:t>
      </w:r>
      <w:r>
        <w:rPr>
          <w:rFonts w:eastAsia="仿宋_GB2312"/>
          <w:sz w:val="32"/>
          <w:szCs w:val="32"/>
        </w:rPr>
        <w:t>蓟州区12050.4万元、宝坻区</w:t>
      </w:r>
      <w:r>
        <w:rPr>
          <w:rFonts w:eastAsia="仿宋_GB2312"/>
          <w:sz w:val="32"/>
          <w:szCs w:val="32"/>
          <w:lang w:val="en"/>
        </w:rPr>
        <w:t>15820.9</w:t>
      </w:r>
      <w:r>
        <w:rPr>
          <w:rFonts w:eastAsia="仿宋_GB2312"/>
          <w:sz w:val="32"/>
          <w:szCs w:val="32"/>
        </w:rPr>
        <w:t>万元、武清区18151.22万元、宁河区</w:t>
      </w:r>
      <w:r>
        <w:rPr>
          <w:rFonts w:hint="eastAsia" w:eastAsia="仿宋_GB2312"/>
          <w:sz w:val="32"/>
          <w:szCs w:val="32"/>
        </w:rPr>
        <w:t>7</w:t>
      </w:r>
      <w:r>
        <w:rPr>
          <w:rFonts w:eastAsia="仿宋_GB2312"/>
          <w:sz w:val="32"/>
          <w:szCs w:val="32"/>
        </w:rPr>
        <w:t>769.7万元、静海区11216.72万元、东丽区644万元、津南区760.76万元、西青区892.26万元、北辰区2461.32万元、滨海新区5287.72万元、市级部门</w:t>
      </w:r>
      <w:r>
        <w:rPr>
          <w:rFonts w:eastAsia="仿宋_GB2312"/>
          <w:sz w:val="32"/>
          <w:szCs w:val="32"/>
          <w:lang w:val="en"/>
        </w:rPr>
        <w:t>7882</w:t>
      </w:r>
      <w:r>
        <w:rPr>
          <w:rFonts w:eastAsia="仿宋_GB2312"/>
          <w:sz w:val="32"/>
          <w:szCs w:val="32"/>
        </w:rPr>
        <w:t>万元。</w:t>
      </w:r>
    </w:p>
    <w:p w14:paraId="14ADDE7F">
      <w:pPr>
        <w:spacing w:line="560" w:lineRule="exact"/>
        <w:ind w:firstLine="640" w:firstLineChars="200"/>
        <w:rPr>
          <w:rFonts w:eastAsia="黑体"/>
          <w:bCs/>
          <w:sz w:val="32"/>
          <w:szCs w:val="32"/>
        </w:rPr>
      </w:pPr>
      <w:r>
        <w:rPr>
          <w:rFonts w:eastAsia="黑体"/>
          <w:bCs/>
          <w:sz w:val="32"/>
          <w:szCs w:val="32"/>
        </w:rPr>
        <w:t>二、绩效目标完成情况分析</w:t>
      </w:r>
    </w:p>
    <w:p w14:paraId="1A7B9451">
      <w:pPr>
        <w:spacing w:line="560" w:lineRule="exact"/>
        <w:ind w:firstLine="643" w:firstLineChars="200"/>
        <w:outlineLvl w:val="0"/>
        <w:rPr>
          <w:rFonts w:eastAsia="楷体_GB2312"/>
          <w:bCs/>
          <w:sz w:val="32"/>
          <w:szCs w:val="32"/>
        </w:rPr>
      </w:pPr>
      <w:r>
        <w:rPr>
          <w:rFonts w:eastAsia="楷体_GB2312"/>
          <w:b/>
          <w:bCs/>
          <w:sz w:val="32"/>
          <w:szCs w:val="32"/>
        </w:rPr>
        <w:t>（一）资金投入情况分析</w:t>
      </w:r>
    </w:p>
    <w:p w14:paraId="19C06F91">
      <w:pPr>
        <w:spacing w:line="560" w:lineRule="exact"/>
        <w:ind w:firstLine="643" w:firstLineChars="200"/>
        <w:rPr>
          <w:rFonts w:eastAsia="仿宋_GB2312"/>
          <w:color w:val="000000"/>
          <w:sz w:val="32"/>
          <w:szCs w:val="32"/>
        </w:rPr>
      </w:pPr>
      <w:r>
        <w:rPr>
          <w:rFonts w:eastAsia="仿宋_GB2312"/>
          <w:b/>
          <w:color w:val="000000"/>
          <w:sz w:val="32"/>
          <w:szCs w:val="32"/>
        </w:rPr>
        <w:t>1.项目资金到位情况分析。</w:t>
      </w:r>
      <w:r>
        <w:rPr>
          <w:rFonts w:eastAsia="仿宋_GB2312"/>
          <w:color w:val="000000"/>
          <w:sz w:val="32"/>
          <w:szCs w:val="32"/>
        </w:rPr>
        <w:t>按照中央有关要求，通过《天津市财政局关于提前下达中央</w:t>
      </w:r>
      <w:r>
        <w:rPr>
          <w:rFonts w:hint="eastAsia" w:eastAsia="仿宋_GB2312"/>
          <w:color w:val="000000"/>
          <w:sz w:val="32"/>
          <w:szCs w:val="32"/>
        </w:rPr>
        <w:t>和市</w:t>
      </w:r>
      <w:r>
        <w:rPr>
          <w:rFonts w:eastAsia="仿宋_GB2312"/>
          <w:color w:val="000000"/>
          <w:sz w:val="32"/>
          <w:szCs w:val="32"/>
        </w:rPr>
        <w:t>财政2022年农业农村专移支付预算</w:t>
      </w:r>
      <w:r>
        <w:rPr>
          <w:rFonts w:hint="eastAsia" w:eastAsia="仿宋_GB2312"/>
          <w:color w:val="000000"/>
          <w:sz w:val="32"/>
          <w:szCs w:val="32"/>
        </w:rPr>
        <w:t>指标</w:t>
      </w:r>
      <w:r>
        <w:rPr>
          <w:rFonts w:eastAsia="仿宋_GB2312"/>
          <w:color w:val="000000"/>
          <w:sz w:val="32"/>
          <w:szCs w:val="32"/>
        </w:rPr>
        <w:t>的通知》（津财农指〔2021〕47号）、《天津市财政局关于下达2022年中央财政农业生产发展等预算资金的通知》（津财农指〔2022〕12号）、《天津市财政局关于下达2022年中央财政农业生产发展（实际种粮农民一次性补贴）资金预算的通知》（津财农指〔2022〕3号）、《天津市财政局关于</w:t>
      </w:r>
      <w:r>
        <w:rPr>
          <w:rFonts w:hint="eastAsia" w:eastAsia="仿宋_GB2312"/>
          <w:color w:val="000000"/>
          <w:sz w:val="32"/>
          <w:szCs w:val="32"/>
        </w:rPr>
        <w:t>再次</w:t>
      </w:r>
      <w:r>
        <w:rPr>
          <w:rFonts w:eastAsia="仿宋_GB2312"/>
          <w:color w:val="000000"/>
          <w:sz w:val="32"/>
          <w:szCs w:val="32"/>
        </w:rPr>
        <w:t>下达2022年中央财政农业生产发展（实际种粮农民一次性补贴）资金预算的通知》（津财农指〔2022〕</w:t>
      </w:r>
      <w:r>
        <w:rPr>
          <w:rFonts w:hint="eastAsia" w:eastAsia="仿宋_GB2312"/>
          <w:color w:val="000000"/>
          <w:sz w:val="32"/>
          <w:szCs w:val="32"/>
        </w:rPr>
        <w:t>1</w:t>
      </w:r>
      <w:r>
        <w:rPr>
          <w:rFonts w:eastAsia="仿宋_GB2312"/>
          <w:color w:val="000000"/>
          <w:sz w:val="32"/>
          <w:szCs w:val="32"/>
        </w:rPr>
        <w:t>3号）</w:t>
      </w:r>
      <w:r>
        <w:rPr>
          <w:rFonts w:hint="eastAsia" w:eastAsia="仿宋_GB2312"/>
          <w:color w:val="000000"/>
          <w:sz w:val="32"/>
          <w:szCs w:val="32"/>
        </w:rPr>
        <w:t>、</w:t>
      </w:r>
      <w:r>
        <w:rPr>
          <w:rFonts w:eastAsia="仿宋_GB2312"/>
          <w:color w:val="000000"/>
          <w:sz w:val="32"/>
          <w:szCs w:val="32"/>
        </w:rPr>
        <w:t>《天津市财政局关于</w:t>
      </w:r>
      <w:r>
        <w:rPr>
          <w:rFonts w:hint="eastAsia" w:eastAsia="仿宋_GB2312"/>
          <w:color w:val="000000"/>
          <w:sz w:val="32"/>
          <w:szCs w:val="32"/>
        </w:rPr>
        <w:t>再次</w:t>
      </w:r>
      <w:r>
        <w:rPr>
          <w:rFonts w:eastAsia="仿宋_GB2312"/>
          <w:color w:val="000000"/>
          <w:sz w:val="32"/>
          <w:szCs w:val="32"/>
        </w:rPr>
        <w:t>下达2022年中央财政农业生产发展（实际种粮农民一次性补贴）资金预算的通知》（津财农指〔2022〕33号）等文件</w:t>
      </w:r>
      <w:r>
        <w:rPr>
          <w:rFonts w:hint="eastAsia" w:eastAsia="仿宋_GB2312"/>
          <w:color w:val="000000"/>
          <w:sz w:val="32"/>
          <w:szCs w:val="32"/>
        </w:rPr>
        <w:t>，我市</w:t>
      </w:r>
      <w:r>
        <w:rPr>
          <w:rFonts w:eastAsia="仿宋_GB2312"/>
          <w:color w:val="000000"/>
          <w:sz w:val="32"/>
          <w:szCs w:val="32"/>
        </w:rPr>
        <w:t>将2022年中央财政农业生产发展资金预算</w:t>
      </w:r>
      <w:r>
        <w:rPr>
          <w:rFonts w:eastAsia="仿宋_GB2312"/>
          <w:sz w:val="32"/>
          <w:szCs w:val="32"/>
        </w:rPr>
        <w:t>82937</w:t>
      </w:r>
      <w:r>
        <w:rPr>
          <w:rFonts w:eastAsia="仿宋_GB2312"/>
          <w:color w:val="000000"/>
          <w:sz w:val="32"/>
          <w:szCs w:val="32"/>
        </w:rPr>
        <w:t>万元全部下达，主要用于耕地地力保护补贴支出、</w:t>
      </w:r>
      <w:r>
        <w:rPr>
          <w:rFonts w:eastAsia="仿宋_GB2312"/>
          <w:sz w:val="32"/>
          <w:szCs w:val="32"/>
        </w:rPr>
        <w:t>实际种粮农民一次性补贴支出、</w:t>
      </w:r>
      <w:r>
        <w:rPr>
          <w:rFonts w:eastAsia="仿宋_GB2312"/>
          <w:color w:val="000000"/>
          <w:sz w:val="32"/>
          <w:szCs w:val="32"/>
        </w:rPr>
        <w:t>农机购置补贴支出、农业产业融合发展项目支出、新型农业经营主体高质量发展项目支出等方面。</w:t>
      </w:r>
    </w:p>
    <w:p w14:paraId="27851658">
      <w:pPr>
        <w:spacing w:line="560" w:lineRule="exact"/>
        <w:ind w:firstLine="640" w:firstLineChars="200"/>
        <w:rPr>
          <w:rFonts w:eastAsia="仿宋_GB2312"/>
          <w:sz w:val="32"/>
          <w:szCs w:val="32"/>
        </w:rPr>
      </w:pPr>
      <w:r>
        <w:rPr>
          <w:rFonts w:eastAsia="仿宋_GB2312"/>
          <w:sz w:val="32"/>
          <w:szCs w:val="32"/>
        </w:rPr>
        <w:t>此外，我市通过</w:t>
      </w:r>
      <w:r>
        <w:rPr>
          <w:rFonts w:eastAsia="仿宋_GB2312"/>
          <w:color w:val="000000"/>
          <w:sz w:val="32"/>
          <w:szCs w:val="32"/>
        </w:rPr>
        <w:t>《天津市财政局关于提前下达中央</w:t>
      </w:r>
      <w:r>
        <w:rPr>
          <w:rFonts w:hint="eastAsia" w:eastAsia="仿宋_GB2312"/>
          <w:color w:val="000000"/>
          <w:sz w:val="32"/>
          <w:szCs w:val="32"/>
        </w:rPr>
        <w:t>和市</w:t>
      </w:r>
      <w:r>
        <w:rPr>
          <w:rFonts w:eastAsia="仿宋_GB2312"/>
          <w:color w:val="000000"/>
          <w:sz w:val="32"/>
          <w:szCs w:val="32"/>
        </w:rPr>
        <w:t>财政2022年农业农村专移支付预算</w:t>
      </w:r>
      <w:r>
        <w:rPr>
          <w:rFonts w:hint="eastAsia" w:eastAsia="仿宋_GB2312"/>
          <w:color w:val="000000"/>
          <w:sz w:val="32"/>
          <w:szCs w:val="32"/>
        </w:rPr>
        <w:t>指标</w:t>
      </w:r>
      <w:r>
        <w:rPr>
          <w:rFonts w:eastAsia="仿宋_GB2312"/>
          <w:color w:val="000000"/>
          <w:sz w:val="32"/>
          <w:szCs w:val="32"/>
        </w:rPr>
        <w:t>的通知》（津财农指〔2021〕47号）等文件</w:t>
      </w:r>
      <w:r>
        <w:rPr>
          <w:rFonts w:eastAsia="仿宋_GB2312"/>
          <w:sz w:val="32"/>
          <w:szCs w:val="32"/>
        </w:rPr>
        <w:t>，将市级支持农业生产发展资金</w:t>
      </w:r>
      <w:r>
        <w:rPr>
          <w:rFonts w:eastAsia="仿宋_GB2312"/>
          <w:color w:val="000000"/>
          <w:sz w:val="32"/>
          <w:szCs w:val="32"/>
        </w:rPr>
        <w:t>19794.8万元预</w:t>
      </w:r>
      <w:r>
        <w:rPr>
          <w:rFonts w:eastAsia="仿宋_GB2312"/>
          <w:sz w:val="32"/>
          <w:szCs w:val="32"/>
        </w:rPr>
        <w:t>算下达至各涉农区。经统计，相关涉农区财政也安排预算1536万元用于支持农业生产发展。</w:t>
      </w:r>
    </w:p>
    <w:p w14:paraId="1EA9C089">
      <w:pPr>
        <w:spacing w:line="560" w:lineRule="exact"/>
        <w:ind w:firstLine="643" w:firstLineChars="200"/>
        <w:rPr>
          <w:rFonts w:eastAsia="仿宋_GB2312"/>
          <w:color w:val="000000"/>
          <w:sz w:val="32"/>
          <w:szCs w:val="32"/>
          <w:highlight w:val="yellow"/>
        </w:rPr>
      </w:pPr>
      <w:r>
        <w:rPr>
          <w:rFonts w:eastAsia="仿宋_GB2312"/>
          <w:b/>
          <w:color w:val="000000"/>
          <w:sz w:val="32"/>
          <w:szCs w:val="32"/>
        </w:rPr>
        <w:t>2.项目资金执行情况分析。</w:t>
      </w:r>
      <w:r>
        <w:rPr>
          <w:rFonts w:eastAsia="仿宋_GB2312"/>
          <w:color w:val="000000"/>
          <w:sz w:val="32"/>
          <w:szCs w:val="32"/>
        </w:rPr>
        <w:t>年度资金总额104988万元、已执行9</w:t>
      </w:r>
      <w:r>
        <w:rPr>
          <w:rFonts w:hint="eastAsia" w:eastAsia="仿宋_GB2312"/>
          <w:color w:val="000000"/>
          <w:sz w:val="32"/>
          <w:szCs w:val="32"/>
          <w:lang w:val="en-US" w:eastAsia="zh-CN"/>
        </w:rPr>
        <w:t>3499</w:t>
      </w:r>
      <w:r>
        <w:rPr>
          <w:rFonts w:eastAsia="仿宋_GB2312"/>
          <w:color w:val="000000"/>
          <w:sz w:val="32"/>
          <w:szCs w:val="32"/>
        </w:rPr>
        <w:t>万元、执行率8</w:t>
      </w:r>
      <w:r>
        <w:rPr>
          <w:rFonts w:hint="eastAsia" w:eastAsia="仿宋_GB2312"/>
          <w:color w:val="000000"/>
          <w:sz w:val="32"/>
          <w:szCs w:val="32"/>
          <w:lang w:val="en-US" w:eastAsia="zh-CN"/>
        </w:rPr>
        <w:t>9.1</w:t>
      </w:r>
      <w:r>
        <w:rPr>
          <w:rFonts w:eastAsia="仿宋_GB2312"/>
          <w:color w:val="000000"/>
          <w:sz w:val="32"/>
          <w:szCs w:val="32"/>
        </w:rPr>
        <w:t>%，其中：中央资金82937万元、已执行72706万元、执行率87.7%，地方资金21331万元、已执行</w:t>
      </w:r>
      <w:r>
        <w:rPr>
          <w:rFonts w:hint="eastAsia" w:eastAsia="仿宋_GB2312"/>
          <w:color w:val="000000"/>
          <w:sz w:val="32"/>
          <w:szCs w:val="32"/>
        </w:rPr>
        <w:t>2</w:t>
      </w:r>
      <w:r>
        <w:rPr>
          <w:rFonts w:eastAsia="仿宋_GB2312"/>
          <w:color w:val="000000"/>
          <w:sz w:val="32"/>
          <w:szCs w:val="32"/>
        </w:rPr>
        <w:t>0073万元、执行率94.1%，其他资金720万元、已执行720万元、执行率100%。</w:t>
      </w:r>
    </w:p>
    <w:p w14:paraId="089972DE">
      <w:pPr>
        <w:spacing w:line="560" w:lineRule="exact"/>
        <w:ind w:firstLine="643" w:firstLineChars="200"/>
        <w:rPr>
          <w:rFonts w:eastAsia="仿宋_GB2312"/>
          <w:color w:val="000000"/>
          <w:sz w:val="32"/>
          <w:szCs w:val="32"/>
          <w:highlight w:val="yellow"/>
        </w:rPr>
      </w:pPr>
      <w:r>
        <w:rPr>
          <w:rFonts w:eastAsia="仿宋_GB2312"/>
          <w:b/>
          <w:color w:val="000000"/>
          <w:sz w:val="32"/>
          <w:szCs w:val="32"/>
        </w:rPr>
        <w:t>3.项目资金管理情况分析。</w:t>
      </w:r>
      <w:r>
        <w:rPr>
          <w:rFonts w:eastAsia="仿宋_GB2312"/>
          <w:sz w:val="32"/>
          <w:szCs w:val="32"/>
        </w:rPr>
        <w:t>一是及时拨付资金。按照财政部、农业农村部要求，我市及时分解下达中央财政农业生产发展资金，资金拨付程序规范、手续完备，不存在统筹使用约束性任务资金等情况。二是实行“大专项+任务清单”管理。按照《天津市人民政府办公厅印发关于探索建立我市涉农资金统筹整合长效机制的实施方案的通知》（津政办函〔2018〕14号）要求，制定任务清单，区分约束性任务和指导性任务，实施差别化管理。三是统筹使用中央和市级资金形成政策合力。我市在编制市级实施方案时，注重统筹考虑中央和市级政策，为确保更好的完成各项重点任务，将财政资金统筹安排使用。四是及时报送总结。为全面总结我市2021年中央财政农业生产发展资金项目实施情况，促进各项工作任务圆满完成，更好地指导以后年度工作，按照《农业农村部 财政部关于做好2022年农业生产发展等项目实施工作的通知》（农计财发〔2022〕13号）要求，我们编写并报送了《天津市2022年中央财政农业生产发展资金项目实施总结报告》（津农委计财〔2023〕4号），并明确了下一步工作加强和改进的方向。</w:t>
      </w:r>
    </w:p>
    <w:p w14:paraId="175C559E">
      <w:pPr>
        <w:spacing w:line="560" w:lineRule="exact"/>
        <w:ind w:firstLine="643" w:firstLineChars="200"/>
        <w:outlineLvl w:val="0"/>
        <w:rPr>
          <w:rFonts w:eastAsia="楷体_GB2312"/>
          <w:b/>
          <w:bCs/>
          <w:sz w:val="32"/>
          <w:szCs w:val="32"/>
        </w:rPr>
      </w:pPr>
      <w:r>
        <w:rPr>
          <w:rFonts w:eastAsia="楷体_GB2312"/>
          <w:b/>
          <w:bCs/>
          <w:sz w:val="32"/>
          <w:szCs w:val="32"/>
        </w:rPr>
        <w:t>（二）总体绩效目标完成情况分析</w:t>
      </w:r>
    </w:p>
    <w:p w14:paraId="64F4E2F4">
      <w:pPr>
        <w:spacing w:line="560" w:lineRule="exact"/>
        <w:ind w:firstLine="640" w:firstLineChars="200"/>
        <w:outlineLvl w:val="0"/>
        <w:rPr>
          <w:rFonts w:eastAsia="仿宋_GB2312"/>
          <w:color w:val="000000"/>
          <w:sz w:val="32"/>
          <w:szCs w:val="32"/>
        </w:rPr>
      </w:pPr>
      <w:r>
        <w:rPr>
          <w:rFonts w:eastAsia="仿宋_GB2312"/>
          <w:color w:val="000000"/>
          <w:sz w:val="32"/>
          <w:szCs w:val="32"/>
        </w:rPr>
        <w:t>2021年中央下达我市年度总体绩效目标为：</w:t>
      </w:r>
      <w:r>
        <w:rPr>
          <w:rFonts w:eastAsia="仿宋_GB2312"/>
          <w:sz w:val="32"/>
          <w:szCs w:val="32"/>
        </w:rPr>
        <w:t>“按照相关规划或实施方案，根据任务清单并结合地方实际支持农业生产发展”，</w:t>
      </w:r>
      <w:r>
        <w:rPr>
          <w:rFonts w:eastAsia="仿宋_GB2312"/>
          <w:color w:val="000000"/>
          <w:sz w:val="32"/>
          <w:szCs w:val="32"/>
        </w:rPr>
        <w:t>上述目标截至目前已全部完成。</w:t>
      </w:r>
    </w:p>
    <w:p w14:paraId="05439D83">
      <w:pPr>
        <w:spacing w:line="560" w:lineRule="exact"/>
        <w:ind w:firstLine="640" w:firstLineChars="200"/>
        <w:outlineLvl w:val="0"/>
        <w:rPr>
          <w:rFonts w:eastAsia="仿宋_GB2312"/>
          <w:color w:val="000000"/>
          <w:sz w:val="32"/>
          <w:szCs w:val="32"/>
        </w:rPr>
      </w:pPr>
      <w:r>
        <w:rPr>
          <w:rFonts w:eastAsia="仿宋_GB2312"/>
          <w:color w:val="000000"/>
          <w:sz w:val="32"/>
          <w:szCs w:val="32"/>
        </w:rPr>
        <w:t>全年实际完成情况如下：1.耕地地力得到进一步保护；2.调动农民种粮积极性，稳定种粮农民收入，落实实际种粮农民一次性补贴政策；</w:t>
      </w:r>
      <w:r>
        <w:rPr>
          <w:rFonts w:hint="eastAsia" w:eastAsia="仿宋_GB2312"/>
          <w:color w:val="FF0000"/>
          <w:sz w:val="32"/>
          <w:szCs w:val="32"/>
        </w:rPr>
        <w:t>3.启动实施新一轮农机购置与应用补贴政策，全市农机化水平持续提升；</w:t>
      </w:r>
      <w:r>
        <w:rPr>
          <w:rFonts w:eastAsia="仿宋_GB2312"/>
          <w:color w:val="000000"/>
          <w:sz w:val="32"/>
          <w:szCs w:val="32"/>
        </w:rPr>
        <w:t>4.绿色高质高效行动项目取得了预期效益，粮食亩产均达到预期目标；5.基层农技推广体系改革与建设项目有序实施，继续落实特聘动物防疫专员补助政策；</w:t>
      </w:r>
      <w:r>
        <w:rPr>
          <w:rFonts w:hint="eastAsia" w:eastAsia="仿宋_GB2312"/>
          <w:color w:val="000000"/>
          <w:sz w:val="32"/>
          <w:szCs w:val="32"/>
          <w:lang w:val="en-US" w:eastAsia="zh-CN"/>
        </w:rPr>
        <w:t>6</w:t>
      </w:r>
      <w:r>
        <w:rPr>
          <w:rFonts w:eastAsia="仿宋_GB2312"/>
          <w:color w:val="000000"/>
          <w:sz w:val="32"/>
          <w:szCs w:val="32"/>
        </w:rPr>
        <w:t>.国家现代农业产业园、优势特色产业集群、农业产业强镇等一批农业产业融合发展项目持续推进，新建、续建项目均按照计划实施；</w:t>
      </w:r>
      <w:r>
        <w:rPr>
          <w:rFonts w:hint="eastAsia" w:eastAsia="仿宋_GB2312"/>
          <w:color w:val="000000"/>
          <w:sz w:val="32"/>
          <w:szCs w:val="32"/>
          <w:lang w:val="en-US" w:eastAsia="zh-CN"/>
        </w:rPr>
        <w:t>7</w:t>
      </w:r>
      <w:r>
        <w:rPr>
          <w:rFonts w:eastAsia="仿宋_GB2312"/>
          <w:color w:val="000000"/>
          <w:sz w:val="32"/>
          <w:szCs w:val="32"/>
        </w:rPr>
        <w:t>.全面完成4.1万头生猪良种补贴任务，超额完成生猪、肉羊、奶牛生产性能测定任务；</w:t>
      </w:r>
      <w:r>
        <w:rPr>
          <w:rFonts w:hint="eastAsia" w:eastAsia="仿宋_GB2312"/>
          <w:color w:val="FF0000"/>
          <w:sz w:val="32"/>
          <w:szCs w:val="32"/>
          <w:lang w:val="en-US" w:eastAsia="zh-CN"/>
        </w:rPr>
        <w:t>8</w:t>
      </w:r>
      <w:r>
        <w:rPr>
          <w:rFonts w:eastAsia="仿宋_GB2312"/>
          <w:color w:val="FF0000"/>
          <w:sz w:val="32"/>
          <w:szCs w:val="32"/>
        </w:rPr>
        <w:t>.</w:t>
      </w:r>
      <w:r>
        <w:rPr>
          <w:rFonts w:hint="eastAsia"/>
          <w:color w:val="FF0000"/>
        </w:rPr>
        <w:t xml:space="preserve"> </w:t>
      </w:r>
      <w:r>
        <w:rPr>
          <w:rFonts w:hint="eastAsia" w:eastAsia="仿宋_GB2312"/>
          <w:color w:val="FF0000"/>
          <w:sz w:val="32"/>
          <w:szCs w:val="32"/>
        </w:rPr>
        <w:t>“桑梓西瓜”地理标志农产品保护工程项目按计划实施</w:t>
      </w:r>
      <w:r>
        <w:rPr>
          <w:rFonts w:eastAsia="仿宋_GB2312"/>
          <w:color w:val="000000"/>
          <w:sz w:val="32"/>
          <w:szCs w:val="32"/>
        </w:rPr>
        <w:t>；</w:t>
      </w:r>
      <w:r>
        <w:rPr>
          <w:rFonts w:hint="eastAsia" w:eastAsia="仿宋_GB2312"/>
          <w:color w:val="000000"/>
          <w:sz w:val="32"/>
          <w:szCs w:val="32"/>
          <w:lang w:val="en-US" w:eastAsia="zh-CN"/>
        </w:rPr>
        <w:t>9</w:t>
      </w:r>
      <w:r>
        <w:rPr>
          <w:rFonts w:eastAsia="仿宋_GB2312"/>
          <w:color w:val="000000"/>
          <w:sz w:val="32"/>
          <w:szCs w:val="32"/>
        </w:rPr>
        <w:t>.农产品产地冷藏保鲜设施建设、家庭农场培育、农业产业化联合体培育、奶牛家庭牧场和奶农合作社升级改造等支持新型经营主体高质量发展项目顺利实施；</w:t>
      </w:r>
      <w:r>
        <w:rPr>
          <w:rFonts w:hint="eastAsia" w:eastAsia="仿宋_GB2312"/>
          <w:color w:val="FF0000"/>
          <w:sz w:val="32"/>
          <w:szCs w:val="32"/>
          <w:lang w:val="en-US" w:eastAsia="zh-CN"/>
        </w:rPr>
        <w:t>10</w:t>
      </w:r>
      <w:r>
        <w:rPr>
          <w:rFonts w:eastAsia="仿宋_GB2312"/>
          <w:color w:val="FF0000"/>
          <w:sz w:val="32"/>
          <w:szCs w:val="32"/>
        </w:rPr>
        <w:t>.全年完成农业生产社会化服务项目面积达到41万亩</w:t>
      </w:r>
      <w:r>
        <w:rPr>
          <w:rFonts w:eastAsia="仿宋_GB2312"/>
          <w:color w:val="000000"/>
          <w:sz w:val="32"/>
          <w:szCs w:val="32"/>
        </w:rPr>
        <w:t>；1</w:t>
      </w:r>
      <w:r>
        <w:rPr>
          <w:rFonts w:hint="eastAsia" w:eastAsia="仿宋_GB2312"/>
          <w:color w:val="000000"/>
          <w:sz w:val="32"/>
          <w:szCs w:val="32"/>
          <w:lang w:val="en-US" w:eastAsia="zh-CN"/>
        </w:rPr>
        <w:t>1</w:t>
      </w:r>
      <w:r>
        <w:rPr>
          <w:rFonts w:eastAsia="仿宋_GB2312"/>
          <w:color w:val="000000"/>
          <w:sz w:val="32"/>
          <w:szCs w:val="32"/>
        </w:rPr>
        <w:t>.培训高素质农民2265人，超额完成培训任务，承接农村实用人才带头人和到村任职、按照大学生村官管理的选调生示范培训，共培训学员700人；1</w:t>
      </w:r>
      <w:r>
        <w:rPr>
          <w:rFonts w:hint="eastAsia" w:eastAsia="仿宋_GB2312"/>
          <w:color w:val="000000"/>
          <w:sz w:val="32"/>
          <w:szCs w:val="32"/>
          <w:lang w:val="en-US" w:eastAsia="zh-CN"/>
        </w:rPr>
        <w:t>2</w:t>
      </w:r>
      <w:r>
        <w:rPr>
          <w:rFonts w:eastAsia="仿宋_GB2312"/>
          <w:color w:val="000000"/>
          <w:sz w:val="32"/>
          <w:szCs w:val="32"/>
        </w:rPr>
        <w:t>.继续对政策性农业信贷担保机构开展担保费补助和业务奖补，农业信贷担保规模明显提高。</w:t>
      </w:r>
    </w:p>
    <w:p w14:paraId="2A52ECE4">
      <w:pPr>
        <w:spacing w:line="560" w:lineRule="exact"/>
        <w:ind w:firstLine="643" w:firstLineChars="200"/>
        <w:rPr>
          <w:rFonts w:eastAsia="楷体_GB2312"/>
          <w:b/>
          <w:bCs/>
          <w:sz w:val="32"/>
          <w:szCs w:val="32"/>
        </w:rPr>
      </w:pPr>
      <w:r>
        <w:rPr>
          <w:rFonts w:eastAsia="楷体_GB2312"/>
          <w:b/>
          <w:bCs/>
          <w:sz w:val="32"/>
          <w:szCs w:val="32"/>
        </w:rPr>
        <w:t>（三）绩效指标完成情况分析</w:t>
      </w:r>
    </w:p>
    <w:p w14:paraId="668E55A5">
      <w:pPr>
        <w:spacing w:line="560" w:lineRule="exact"/>
        <w:ind w:firstLine="640" w:firstLineChars="200"/>
        <w:rPr>
          <w:rFonts w:eastAsia="仿宋_GB2312"/>
          <w:color w:val="000000"/>
          <w:sz w:val="32"/>
          <w:szCs w:val="32"/>
        </w:rPr>
      </w:pPr>
      <w:r>
        <w:rPr>
          <w:rFonts w:eastAsia="仿宋_GB2312"/>
          <w:color w:val="000000"/>
          <w:sz w:val="32"/>
          <w:szCs w:val="32"/>
        </w:rPr>
        <w:t>全年共分解下达绩效指标3</w:t>
      </w:r>
      <w:r>
        <w:rPr>
          <w:rFonts w:hint="eastAsia" w:eastAsia="仿宋_GB2312"/>
          <w:color w:val="000000"/>
          <w:sz w:val="32"/>
          <w:szCs w:val="32"/>
          <w:lang w:val="en-US" w:eastAsia="zh-CN"/>
        </w:rPr>
        <w:t>6</w:t>
      </w:r>
      <w:r>
        <w:rPr>
          <w:rFonts w:eastAsia="仿宋_GB2312"/>
          <w:color w:val="000000"/>
          <w:sz w:val="32"/>
          <w:szCs w:val="32"/>
        </w:rPr>
        <w:t>个，</w:t>
      </w:r>
      <w:r>
        <w:rPr>
          <w:rFonts w:hint="eastAsia" w:eastAsia="仿宋_GB2312"/>
          <w:color w:val="000000"/>
          <w:sz w:val="32"/>
          <w:szCs w:val="32"/>
        </w:rPr>
        <w:t>已</w:t>
      </w:r>
      <w:r>
        <w:rPr>
          <w:rFonts w:eastAsia="仿宋_GB2312"/>
          <w:color w:val="000000"/>
          <w:sz w:val="32"/>
          <w:szCs w:val="32"/>
        </w:rPr>
        <w:t>完成</w:t>
      </w:r>
      <w:r>
        <w:rPr>
          <w:rFonts w:hint="eastAsia" w:eastAsia="仿宋_GB2312"/>
          <w:color w:val="000000"/>
          <w:sz w:val="32"/>
          <w:szCs w:val="32"/>
          <w:lang w:val="en-US" w:eastAsia="zh-CN"/>
        </w:rPr>
        <w:t>35</w:t>
      </w:r>
      <w:r>
        <w:rPr>
          <w:rFonts w:eastAsia="仿宋_GB2312"/>
          <w:color w:val="000000"/>
          <w:sz w:val="32"/>
          <w:szCs w:val="32"/>
        </w:rPr>
        <w:t>个，未完成</w:t>
      </w:r>
      <w:r>
        <w:rPr>
          <w:rFonts w:hint="eastAsia" w:eastAsia="仿宋_GB2312"/>
          <w:color w:val="000000"/>
          <w:sz w:val="32"/>
          <w:szCs w:val="32"/>
          <w:lang w:val="en-US" w:eastAsia="zh-CN"/>
        </w:rPr>
        <w:t>1</w:t>
      </w:r>
      <w:r>
        <w:rPr>
          <w:rFonts w:eastAsia="仿宋_GB2312"/>
          <w:color w:val="000000"/>
          <w:sz w:val="32"/>
          <w:szCs w:val="32"/>
        </w:rPr>
        <w:t>个。</w:t>
      </w:r>
    </w:p>
    <w:p w14:paraId="3BD2A69B">
      <w:pPr>
        <w:spacing w:line="560" w:lineRule="exact"/>
        <w:ind w:firstLine="640" w:firstLineChars="200"/>
        <w:rPr>
          <w:rFonts w:eastAsia="仿宋_GB2312"/>
          <w:color w:val="000000"/>
          <w:sz w:val="32"/>
          <w:szCs w:val="32"/>
        </w:rPr>
      </w:pPr>
      <w:r>
        <w:rPr>
          <w:rFonts w:eastAsia="仿宋_GB2312"/>
          <w:color w:val="000000"/>
          <w:sz w:val="32"/>
          <w:szCs w:val="32"/>
        </w:rPr>
        <w:t>1.产出指标26个，</w:t>
      </w:r>
      <w:r>
        <w:rPr>
          <w:rFonts w:hint="eastAsia" w:eastAsia="仿宋_GB2312"/>
          <w:color w:val="000000"/>
          <w:sz w:val="32"/>
          <w:szCs w:val="32"/>
        </w:rPr>
        <w:t>已</w:t>
      </w:r>
      <w:r>
        <w:rPr>
          <w:rFonts w:eastAsia="仿宋_GB2312"/>
          <w:color w:val="000000"/>
          <w:sz w:val="32"/>
          <w:szCs w:val="32"/>
        </w:rPr>
        <w:t>完成</w:t>
      </w:r>
      <w:r>
        <w:rPr>
          <w:rFonts w:hint="eastAsia" w:eastAsia="仿宋_GB2312"/>
          <w:color w:val="000000"/>
          <w:sz w:val="32"/>
          <w:szCs w:val="32"/>
          <w:lang w:val="en-US" w:eastAsia="zh-CN"/>
        </w:rPr>
        <w:t>25</w:t>
      </w:r>
      <w:r>
        <w:rPr>
          <w:rFonts w:eastAsia="仿宋_GB2312"/>
          <w:color w:val="000000"/>
          <w:sz w:val="32"/>
          <w:szCs w:val="32"/>
        </w:rPr>
        <w:t>个，未完成</w:t>
      </w:r>
      <w:r>
        <w:rPr>
          <w:rFonts w:hint="eastAsia" w:eastAsia="仿宋_GB2312"/>
          <w:color w:val="000000"/>
          <w:sz w:val="32"/>
          <w:szCs w:val="32"/>
          <w:lang w:val="en-US" w:eastAsia="zh-CN"/>
        </w:rPr>
        <w:t>1</w:t>
      </w:r>
      <w:r>
        <w:rPr>
          <w:rFonts w:eastAsia="仿宋_GB2312"/>
          <w:color w:val="000000"/>
          <w:sz w:val="32"/>
          <w:szCs w:val="32"/>
        </w:rPr>
        <w:t>个。</w:t>
      </w:r>
    </w:p>
    <w:p w14:paraId="5E43E73C">
      <w:pPr>
        <w:spacing w:line="560" w:lineRule="exact"/>
        <w:ind w:firstLine="640" w:firstLineChars="200"/>
        <w:rPr>
          <w:rFonts w:eastAsia="仿宋_GB2312"/>
          <w:color w:val="000000"/>
          <w:sz w:val="32"/>
          <w:szCs w:val="32"/>
        </w:rPr>
      </w:pPr>
      <w:r>
        <w:rPr>
          <w:rFonts w:eastAsia="仿宋_GB2312"/>
          <w:color w:val="000000"/>
          <w:sz w:val="32"/>
          <w:szCs w:val="32"/>
        </w:rPr>
        <w:t>一是数量指标21个，</w:t>
      </w:r>
      <w:r>
        <w:rPr>
          <w:rFonts w:hint="eastAsia" w:eastAsia="仿宋_GB2312"/>
          <w:color w:val="000000"/>
          <w:sz w:val="32"/>
          <w:szCs w:val="32"/>
          <w:lang w:eastAsia="zh-CN"/>
        </w:rPr>
        <w:t>全部完成</w:t>
      </w:r>
      <w:r>
        <w:rPr>
          <w:rFonts w:eastAsia="仿宋_GB2312"/>
          <w:color w:val="000000"/>
          <w:sz w:val="32"/>
          <w:szCs w:val="32"/>
        </w:rPr>
        <w:t>。</w:t>
      </w:r>
      <w:r>
        <w:rPr>
          <w:rFonts w:hint="eastAsia" w:eastAsia="仿宋_GB2312"/>
          <w:color w:val="000000"/>
          <w:sz w:val="32"/>
          <w:szCs w:val="32"/>
        </w:rPr>
        <w:t>农机购置与应用补贴机具数5420（台、套）；绿色高质高效行动县2个；</w:t>
      </w:r>
      <w:r>
        <w:rPr>
          <w:rFonts w:hint="eastAsia" w:eastAsia="仿宋_GB2312"/>
          <w:sz w:val="32"/>
          <w:szCs w:val="32"/>
        </w:rPr>
        <w:t>基层农技人员培训数1</w:t>
      </w:r>
      <w:r>
        <w:rPr>
          <w:rFonts w:eastAsia="仿宋_GB2312"/>
          <w:sz w:val="32"/>
          <w:szCs w:val="32"/>
        </w:rPr>
        <w:t>029</w:t>
      </w:r>
      <w:r>
        <w:rPr>
          <w:rFonts w:hint="eastAsia" w:eastAsia="仿宋_GB2312"/>
          <w:sz w:val="32"/>
          <w:szCs w:val="32"/>
        </w:rPr>
        <w:t>人；农业科技示范展示基地数量1</w:t>
      </w:r>
      <w:r>
        <w:rPr>
          <w:rFonts w:eastAsia="仿宋_GB2312"/>
          <w:sz w:val="32"/>
          <w:szCs w:val="32"/>
        </w:rPr>
        <w:t>5</w:t>
      </w:r>
      <w:r>
        <w:rPr>
          <w:rFonts w:hint="eastAsia" w:eastAsia="仿宋_GB2312"/>
          <w:sz w:val="32"/>
          <w:szCs w:val="32"/>
        </w:rPr>
        <w:t>个；支持奶牛（奶畜）家庭牧场和奶农合作社升级改造的数量3</w:t>
      </w:r>
      <w:r>
        <w:rPr>
          <w:rFonts w:eastAsia="仿宋_GB2312"/>
          <w:sz w:val="32"/>
          <w:szCs w:val="32"/>
        </w:rPr>
        <w:t>2</w:t>
      </w:r>
      <w:r>
        <w:rPr>
          <w:rFonts w:hint="eastAsia" w:eastAsia="仿宋_GB2312"/>
          <w:sz w:val="32"/>
          <w:szCs w:val="32"/>
        </w:rPr>
        <w:t>个；农产品产地保鲜设施建设数量5</w:t>
      </w:r>
      <w:r>
        <w:rPr>
          <w:rFonts w:eastAsia="仿宋_GB2312"/>
          <w:sz w:val="32"/>
          <w:szCs w:val="32"/>
        </w:rPr>
        <w:t>1</w:t>
      </w:r>
      <w:r>
        <w:rPr>
          <w:rFonts w:hint="eastAsia" w:eastAsia="仿宋_GB2312"/>
          <w:sz w:val="32"/>
          <w:szCs w:val="32"/>
        </w:rPr>
        <w:t>个；支持农民合作社数量15个；支持家庭农场数量70个；农业生产托管服务面积41万亩；高素质农民培育数量2</w:t>
      </w:r>
      <w:r>
        <w:rPr>
          <w:rFonts w:eastAsia="仿宋_GB2312"/>
          <w:sz w:val="32"/>
          <w:szCs w:val="32"/>
        </w:rPr>
        <w:t>265</w:t>
      </w:r>
      <w:r>
        <w:rPr>
          <w:rFonts w:hint="eastAsia" w:eastAsia="仿宋_GB2312"/>
          <w:sz w:val="32"/>
          <w:szCs w:val="32"/>
        </w:rPr>
        <w:t>人；农村实用人才带头人示范培训数量7</w:t>
      </w:r>
      <w:r>
        <w:rPr>
          <w:rFonts w:eastAsia="仿宋_GB2312"/>
          <w:sz w:val="32"/>
          <w:szCs w:val="32"/>
        </w:rPr>
        <w:t>00</w:t>
      </w:r>
      <w:r>
        <w:rPr>
          <w:rFonts w:hint="eastAsia" w:eastAsia="仿宋_GB2312"/>
          <w:sz w:val="32"/>
          <w:szCs w:val="32"/>
        </w:rPr>
        <w:t>人；继续推进奶牛、生猪优势特色产业集群（奶牛）建设；开展滨海新区国家现代农业产业园数量创建工作；开展蓟州区下营镇农业产业强镇创建工作；支持发展地理标志农产品数量1个；生猪良种补贴4</w:t>
      </w:r>
      <w:r>
        <w:rPr>
          <w:rFonts w:eastAsia="仿宋_GB2312"/>
          <w:sz w:val="32"/>
          <w:szCs w:val="32"/>
        </w:rPr>
        <w:t>.1</w:t>
      </w:r>
      <w:r>
        <w:rPr>
          <w:rFonts w:hint="eastAsia" w:eastAsia="仿宋_GB2312"/>
          <w:sz w:val="32"/>
          <w:szCs w:val="32"/>
        </w:rPr>
        <w:t>万头</w:t>
      </w:r>
      <w:r>
        <w:rPr>
          <w:rFonts w:hint="eastAsia" w:eastAsia="仿宋_GB2312"/>
          <w:color w:val="auto"/>
          <w:sz w:val="32"/>
          <w:szCs w:val="32"/>
        </w:rPr>
        <w:t>；种畜禽生产性能测定数量64655</w:t>
      </w:r>
      <w:r>
        <w:rPr>
          <w:rFonts w:hint="eastAsia" w:eastAsia="仿宋_GB2312"/>
          <w:color w:val="auto"/>
          <w:sz w:val="32"/>
          <w:szCs w:val="32"/>
          <w:lang w:eastAsia="zh-CN"/>
        </w:rPr>
        <w:t>（只、头）</w:t>
      </w:r>
      <w:r>
        <w:rPr>
          <w:rFonts w:hint="eastAsia" w:eastAsia="仿宋_GB2312"/>
          <w:color w:val="auto"/>
          <w:sz w:val="32"/>
          <w:szCs w:val="32"/>
        </w:rPr>
        <w:t>；乡</w:t>
      </w:r>
      <w:r>
        <w:rPr>
          <w:rFonts w:hint="eastAsia" w:eastAsia="仿宋_GB2312"/>
          <w:sz w:val="32"/>
          <w:szCs w:val="32"/>
        </w:rPr>
        <w:t>村产业振兴带头人“头雁”培育数量1</w:t>
      </w:r>
      <w:r>
        <w:rPr>
          <w:rFonts w:eastAsia="仿宋_GB2312"/>
          <w:sz w:val="32"/>
          <w:szCs w:val="32"/>
        </w:rPr>
        <w:t>00</w:t>
      </w:r>
      <w:r>
        <w:rPr>
          <w:rFonts w:hint="eastAsia" w:eastAsia="仿宋_GB2312"/>
          <w:sz w:val="32"/>
          <w:szCs w:val="32"/>
        </w:rPr>
        <w:t>人；</w:t>
      </w:r>
      <w:r>
        <w:rPr>
          <w:rFonts w:hint="eastAsia" w:eastAsia="仿宋_GB2312"/>
          <w:color w:val="000000"/>
          <w:sz w:val="32"/>
          <w:szCs w:val="32"/>
        </w:rPr>
        <w:t>开展武清区奶业生产能力提升整县工作；落实实际种粮农民一次性补贴面积1760.8万亩次。</w:t>
      </w:r>
    </w:p>
    <w:p w14:paraId="43B6CAC1">
      <w:pPr>
        <w:spacing w:line="560" w:lineRule="exact"/>
        <w:ind w:firstLine="640" w:firstLineChars="200"/>
        <w:rPr>
          <w:rFonts w:eastAsia="仿宋_GB2312"/>
          <w:color w:val="000000"/>
          <w:sz w:val="32"/>
          <w:szCs w:val="32"/>
        </w:rPr>
      </w:pPr>
      <w:r>
        <w:rPr>
          <w:rFonts w:hint="eastAsia" w:eastAsia="仿宋_GB2312"/>
          <w:color w:val="000000"/>
          <w:sz w:val="32"/>
          <w:szCs w:val="32"/>
        </w:rPr>
        <w:tab/>
      </w:r>
      <w:r>
        <w:rPr>
          <w:rFonts w:eastAsia="仿宋_GB2312"/>
          <w:color w:val="000000"/>
          <w:sz w:val="32"/>
          <w:szCs w:val="32"/>
        </w:rPr>
        <w:t>二是质量指标3个，</w:t>
      </w:r>
      <w:r>
        <w:rPr>
          <w:rFonts w:hint="eastAsia" w:eastAsia="仿宋_GB2312"/>
          <w:color w:val="000000"/>
          <w:sz w:val="32"/>
          <w:szCs w:val="32"/>
        </w:rPr>
        <w:t>全部完成</w:t>
      </w:r>
      <w:r>
        <w:rPr>
          <w:rFonts w:eastAsia="仿宋_GB2312"/>
          <w:color w:val="000000"/>
          <w:sz w:val="32"/>
          <w:szCs w:val="32"/>
        </w:rPr>
        <w:t>。</w:t>
      </w:r>
      <w:r>
        <w:rPr>
          <w:rFonts w:hint="eastAsia" w:eastAsia="仿宋_GB2312"/>
          <w:color w:val="000000"/>
          <w:sz w:val="32"/>
          <w:szCs w:val="32"/>
        </w:rPr>
        <w:t>农作物耕种收综合机械化率达到90.3%；农业主推技术到位率1</w:t>
      </w:r>
      <w:r>
        <w:rPr>
          <w:rFonts w:eastAsia="仿宋_GB2312"/>
          <w:color w:val="000000"/>
          <w:sz w:val="32"/>
          <w:szCs w:val="32"/>
        </w:rPr>
        <w:t>00%</w:t>
      </w:r>
      <w:r>
        <w:rPr>
          <w:rFonts w:hint="eastAsia" w:eastAsia="仿宋_GB2312"/>
          <w:color w:val="000000"/>
          <w:sz w:val="32"/>
          <w:szCs w:val="32"/>
        </w:rPr>
        <w:t>；农民种粮积极性得到明显提升。</w:t>
      </w:r>
    </w:p>
    <w:p w14:paraId="7BCCD96F">
      <w:pPr>
        <w:spacing w:line="560" w:lineRule="exact"/>
        <w:ind w:firstLine="640" w:firstLineChars="200"/>
        <w:rPr>
          <w:rFonts w:eastAsia="仿宋_GB2312"/>
          <w:color w:val="000000"/>
          <w:sz w:val="32"/>
          <w:szCs w:val="32"/>
          <w:highlight w:val="yellow"/>
        </w:rPr>
      </w:pPr>
      <w:r>
        <w:rPr>
          <w:rFonts w:eastAsia="仿宋_GB2312"/>
          <w:color w:val="000000"/>
          <w:sz w:val="32"/>
          <w:szCs w:val="32"/>
        </w:rPr>
        <w:t>三是时效指标1个，</w:t>
      </w:r>
      <w:r>
        <w:rPr>
          <w:rFonts w:hint="eastAsia" w:eastAsia="仿宋_GB2312"/>
          <w:color w:val="000000"/>
          <w:sz w:val="32"/>
          <w:szCs w:val="32"/>
        </w:rPr>
        <w:t>未完成</w:t>
      </w:r>
      <w:r>
        <w:rPr>
          <w:rFonts w:eastAsia="仿宋_GB2312"/>
          <w:color w:val="000000"/>
          <w:sz w:val="32"/>
          <w:szCs w:val="32"/>
        </w:rPr>
        <w:t>。</w:t>
      </w:r>
      <w:r>
        <w:rPr>
          <w:rFonts w:hint="eastAsia" w:eastAsia="仿宋_GB2312"/>
          <w:color w:val="000000"/>
          <w:sz w:val="32"/>
          <w:szCs w:val="32"/>
        </w:rPr>
        <w:t>耕地地力保护补贴及实际种粮农民一次性补贴分三次分别于4月中旬、7月底和9月底按时发放，略晚于财政部、农业农村部规定的时限。</w:t>
      </w:r>
    </w:p>
    <w:p w14:paraId="50FD28EE">
      <w:pPr>
        <w:spacing w:line="560" w:lineRule="exact"/>
        <w:ind w:firstLine="640" w:firstLineChars="200"/>
        <w:rPr>
          <w:rFonts w:eastAsia="仿宋_GB2312"/>
          <w:color w:val="000000"/>
          <w:sz w:val="32"/>
          <w:szCs w:val="32"/>
        </w:rPr>
      </w:pPr>
      <w:r>
        <w:rPr>
          <w:rFonts w:eastAsia="仿宋_GB2312"/>
          <w:color w:val="000000"/>
          <w:sz w:val="32"/>
          <w:szCs w:val="32"/>
        </w:rPr>
        <w:t>四是成本指标1个，</w:t>
      </w:r>
      <w:r>
        <w:rPr>
          <w:rFonts w:hint="eastAsia" w:eastAsia="仿宋_GB2312"/>
          <w:color w:val="000000"/>
          <w:sz w:val="32"/>
          <w:szCs w:val="32"/>
          <w:lang w:eastAsia="zh-CN"/>
        </w:rPr>
        <w:t>已经</w:t>
      </w:r>
      <w:r>
        <w:rPr>
          <w:rFonts w:eastAsia="仿宋_GB2312"/>
          <w:color w:val="000000"/>
          <w:sz w:val="32"/>
          <w:szCs w:val="32"/>
        </w:rPr>
        <w:t>完成。</w:t>
      </w:r>
      <w:r>
        <w:rPr>
          <w:rFonts w:hint="eastAsia" w:eastAsia="仿宋_GB2312"/>
          <w:color w:val="000000"/>
          <w:sz w:val="32"/>
          <w:szCs w:val="32"/>
        </w:rPr>
        <w:t>示范区平均节肥率8%，节水率20%，节药率23% 。</w:t>
      </w:r>
    </w:p>
    <w:p w14:paraId="1FFA1722">
      <w:pPr>
        <w:spacing w:line="560" w:lineRule="exact"/>
        <w:ind w:firstLine="640" w:firstLineChars="200"/>
        <w:rPr>
          <w:rFonts w:eastAsia="仿宋_GB2312"/>
          <w:color w:val="000000"/>
          <w:sz w:val="32"/>
          <w:szCs w:val="32"/>
        </w:rPr>
      </w:pPr>
      <w:r>
        <w:rPr>
          <w:rFonts w:eastAsia="仿宋_GB2312"/>
          <w:color w:val="000000"/>
          <w:sz w:val="32"/>
          <w:szCs w:val="32"/>
        </w:rPr>
        <w:t>2.效益指标6个，全部完成。</w:t>
      </w:r>
    </w:p>
    <w:p w14:paraId="6F392253">
      <w:pPr>
        <w:spacing w:line="560" w:lineRule="exact"/>
        <w:ind w:firstLine="640" w:firstLineChars="200"/>
        <w:rPr>
          <w:rFonts w:hint="eastAsia" w:eastAsia="仿宋_GB2312"/>
          <w:sz w:val="32"/>
          <w:szCs w:val="32"/>
        </w:rPr>
      </w:pPr>
      <w:r>
        <w:rPr>
          <w:rFonts w:eastAsia="仿宋_GB2312"/>
          <w:color w:val="000000"/>
          <w:sz w:val="32"/>
          <w:szCs w:val="32"/>
        </w:rPr>
        <w:t>一是经济效益指标2个。</w:t>
      </w:r>
      <w:r>
        <w:rPr>
          <w:rFonts w:hint="eastAsia" w:eastAsia="仿宋_GB2312"/>
          <w:sz w:val="32"/>
          <w:szCs w:val="32"/>
        </w:rPr>
        <w:t>农担公司在保项目增加134笔、在保余额增加1.49亿元，实现稳健发展的目标；农民种粮收入得到明显提升。</w:t>
      </w:r>
    </w:p>
    <w:p w14:paraId="55187E3D">
      <w:pPr>
        <w:spacing w:line="560" w:lineRule="exact"/>
        <w:ind w:firstLine="640" w:firstLineChars="200"/>
        <w:rPr>
          <w:rFonts w:hint="eastAsia" w:eastAsia="仿宋_GB2312"/>
          <w:color w:val="000000"/>
          <w:sz w:val="32"/>
          <w:szCs w:val="32"/>
        </w:rPr>
      </w:pPr>
      <w:r>
        <w:rPr>
          <w:rFonts w:eastAsia="仿宋_GB2312"/>
          <w:color w:val="000000"/>
          <w:sz w:val="32"/>
          <w:szCs w:val="32"/>
        </w:rPr>
        <w:t>二是社会效益指标3个。</w:t>
      </w:r>
      <w:r>
        <w:rPr>
          <w:rFonts w:hint="eastAsia" w:eastAsia="仿宋_GB2312"/>
          <w:sz w:val="32"/>
          <w:szCs w:val="32"/>
        </w:rPr>
        <w:t>服务小农户3.21万个服务面积36.72万亩，均得到明显提高</w:t>
      </w:r>
      <w:r>
        <w:rPr>
          <w:rFonts w:eastAsia="仿宋_GB2312"/>
          <w:sz w:val="32"/>
          <w:szCs w:val="32"/>
        </w:rPr>
        <w:t>；</w:t>
      </w:r>
      <w:r>
        <w:rPr>
          <w:rFonts w:eastAsia="仿宋_GB2312"/>
          <w:color w:val="000000"/>
          <w:sz w:val="32"/>
          <w:szCs w:val="32"/>
        </w:rPr>
        <w:t>粮食种植面积</w:t>
      </w:r>
      <w:r>
        <w:rPr>
          <w:rFonts w:hint="eastAsia" w:eastAsia="仿宋_GB2312"/>
          <w:color w:val="000000"/>
          <w:sz w:val="32"/>
          <w:szCs w:val="32"/>
        </w:rPr>
        <w:t>保持</w:t>
      </w:r>
      <w:r>
        <w:rPr>
          <w:rFonts w:eastAsia="仿宋_GB2312"/>
          <w:color w:val="000000"/>
          <w:sz w:val="32"/>
          <w:szCs w:val="32"/>
        </w:rPr>
        <w:t>稳定</w:t>
      </w:r>
      <w:r>
        <w:rPr>
          <w:rFonts w:hint="eastAsia" w:eastAsia="仿宋_GB2312"/>
          <w:color w:val="000000"/>
          <w:sz w:val="32"/>
          <w:szCs w:val="32"/>
        </w:rPr>
        <w:t>；未发现</w:t>
      </w:r>
      <w:r>
        <w:rPr>
          <w:rFonts w:eastAsia="仿宋_GB2312"/>
          <w:color w:val="000000"/>
          <w:sz w:val="32"/>
          <w:szCs w:val="32"/>
        </w:rPr>
        <w:t>资金使用重大违规违纪问题</w:t>
      </w:r>
      <w:r>
        <w:rPr>
          <w:rFonts w:hint="eastAsia" w:eastAsia="仿宋_GB2312"/>
          <w:color w:val="000000"/>
          <w:sz w:val="32"/>
          <w:szCs w:val="32"/>
        </w:rPr>
        <w:t>。</w:t>
      </w:r>
    </w:p>
    <w:p w14:paraId="622CA892">
      <w:pPr>
        <w:spacing w:line="560" w:lineRule="exact"/>
        <w:ind w:firstLine="640" w:firstLineChars="200"/>
        <w:rPr>
          <w:rFonts w:eastAsia="仿宋_GB2312"/>
          <w:color w:val="000000"/>
          <w:sz w:val="32"/>
          <w:szCs w:val="32"/>
        </w:rPr>
      </w:pPr>
      <w:r>
        <w:rPr>
          <w:rFonts w:eastAsia="仿宋_GB2312"/>
          <w:color w:val="000000"/>
          <w:sz w:val="32"/>
          <w:szCs w:val="32"/>
        </w:rPr>
        <w:t>三是生态效益指标1个。推广应用农业绿色高质高效技术模式</w:t>
      </w:r>
      <w:r>
        <w:rPr>
          <w:rFonts w:hint="eastAsia" w:eastAsia="仿宋_GB2312"/>
          <w:color w:val="000000"/>
          <w:sz w:val="32"/>
          <w:szCs w:val="32"/>
        </w:rPr>
        <w:t>2个</w:t>
      </w:r>
    </w:p>
    <w:p w14:paraId="029B84DD">
      <w:pPr>
        <w:spacing w:line="560" w:lineRule="exact"/>
        <w:ind w:firstLine="640" w:firstLineChars="200"/>
        <w:rPr>
          <w:rFonts w:eastAsia="仿宋_GB2312"/>
          <w:color w:val="000000"/>
          <w:sz w:val="32"/>
          <w:szCs w:val="32"/>
        </w:rPr>
      </w:pPr>
      <w:r>
        <w:rPr>
          <w:rFonts w:eastAsia="仿宋_GB2312"/>
          <w:color w:val="000000"/>
          <w:sz w:val="32"/>
          <w:szCs w:val="32"/>
        </w:rPr>
        <w:t>3.满意度指标4个，全部完成。</w:t>
      </w:r>
    </w:p>
    <w:p w14:paraId="50CCA64A">
      <w:pPr>
        <w:spacing w:line="560" w:lineRule="exact"/>
        <w:ind w:firstLine="640" w:firstLineChars="200"/>
        <w:rPr>
          <w:rFonts w:eastAsia="仿宋_GB2312"/>
          <w:sz w:val="32"/>
          <w:szCs w:val="32"/>
        </w:rPr>
      </w:pPr>
      <w:r>
        <w:rPr>
          <w:rFonts w:hint="eastAsia" w:eastAsia="仿宋_GB2312"/>
          <w:color w:val="000000"/>
          <w:sz w:val="32"/>
          <w:szCs w:val="32"/>
        </w:rPr>
        <w:t>高素质农民满意度达到9</w:t>
      </w:r>
      <w:r>
        <w:rPr>
          <w:rFonts w:eastAsia="仿宋_GB2312"/>
          <w:color w:val="000000"/>
          <w:sz w:val="32"/>
          <w:szCs w:val="32"/>
        </w:rPr>
        <w:t>9.9%</w:t>
      </w:r>
      <w:r>
        <w:rPr>
          <w:rFonts w:hint="eastAsia" w:eastAsia="仿宋_GB2312"/>
          <w:color w:val="000000"/>
          <w:sz w:val="32"/>
          <w:szCs w:val="32"/>
        </w:rPr>
        <w:t>；</w:t>
      </w:r>
      <w:r>
        <w:rPr>
          <w:rFonts w:hint="eastAsia" w:eastAsia="仿宋_GB2312"/>
          <w:sz w:val="32"/>
          <w:szCs w:val="32"/>
        </w:rPr>
        <w:t>新型经营主体对农业生产发展资金项目实施的满意度达到8</w:t>
      </w:r>
      <w:r>
        <w:rPr>
          <w:rFonts w:eastAsia="仿宋_GB2312"/>
          <w:sz w:val="32"/>
          <w:szCs w:val="32"/>
        </w:rPr>
        <w:t>5%</w:t>
      </w:r>
      <w:r>
        <w:rPr>
          <w:rFonts w:hint="eastAsia" w:eastAsia="仿宋_GB2312"/>
          <w:sz w:val="32"/>
          <w:szCs w:val="32"/>
        </w:rPr>
        <w:t>；新型经营主体和小农户对农业生产社会化服务的满意度达到9</w:t>
      </w:r>
      <w:r>
        <w:rPr>
          <w:rFonts w:eastAsia="仿宋_GB2312"/>
          <w:sz w:val="32"/>
          <w:szCs w:val="32"/>
        </w:rPr>
        <w:t>6%</w:t>
      </w:r>
      <w:r>
        <w:rPr>
          <w:rFonts w:hint="eastAsia" w:eastAsia="仿宋_GB2312"/>
          <w:sz w:val="32"/>
          <w:szCs w:val="32"/>
        </w:rPr>
        <w:t>；种粮主体对一次性补贴的满意度达到9</w:t>
      </w:r>
      <w:r>
        <w:rPr>
          <w:rFonts w:eastAsia="仿宋_GB2312"/>
          <w:sz w:val="32"/>
          <w:szCs w:val="32"/>
        </w:rPr>
        <w:t>5%</w:t>
      </w:r>
      <w:r>
        <w:rPr>
          <w:rFonts w:hint="eastAsia" w:eastAsia="仿宋_GB2312"/>
          <w:sz w:val="32"/>
          <w:szCs w:val="32"/>
        </w:rPr>
        <w:t>。</w:t>
      </w:r>
    </w:p>
    <w:p w14:paraId="670E5029">
      <w:pPr>
        <w:spacing w:line="560" w:lineRule="exact"/>
        <w:ind w:firstLine="640" w:firstLineChars="200"/>
        <w:outlineLvl w:val="0"/>
        <w:rPr>
          <w:rFonts w:eastAsia="仿宋_GB2312"/>
          <w:sz w:val="30"/>
          <w:szCs w:val="32"/>
          <w:highlight w:val="yellow"/>
        </w:rPr>
      </w:pPr>
      <w:r>
        <w:rPr>
          <w:rFonts w:hint="eastAsia" w:eastAsia="仿宋_GB2312"/>
          <w:color w:val="000000"/>
          <w:sz w:val="32"/>
          <w:szCs w:val="32"/>
        </w:rPr>
        <w:tab/>
      </w:r>
      <w:r>
        <w:rPr>
          <w:rFonts w:eastAsia="黑体"/>
          <w:bCs/>
          <w:sz w:val="30"/>
          <w:szCs w:val="32"/>
        </w:rPr>
        <w:t>三、偏离绩效目标的原因和下一步改进措施</w:t>
      </w:r>
    </w:p>
    <w:p w14:paraId="2F9C1B32">
      <w:pPr>
        <w:spacing w:line="560" w:lineRule="exact"/>
        <w:ind w:firstLine="640" w:firstLineChars="200"/>
        <w:rPr>
          <w:rFonts w:eastAsia="仿宋_GB2312"/>
          <w:color w:val="000000"/>
          <w:sz w:val="32"/>
          <w:szCs w:val="32"/>
          <w:highlight w:val="yellow"/>
        </w:rPr>
      </w:pPr>
      <w:r>
        <w:rPr>
          <w:rFonts w:hint="eastAsia" w:eastAsia="仿宋_GB2312"/>
          <w:color w:val="000000"/>
          <w:sz w:val="32"/>
          <w:szCs w:val="32"/>
        </w:rPr>
        <w:t>时效指标“耕地地力保护补贴发放时限”，未按照指标值6月30日完成发放，而是年底前全部完成兑付，主要在于按照《天津市耕地地力保护补贴实施方案》规定，我市按照当年粮食实际种植面积对种粮生产者补贴。为确保补贴信息准确，我市以村为单位对种粮生产者实际种粮面积进行登记造册，并进行不少于7日的张榜公示，根据粮食作物生产季节，补贴发放分夏粮、秋粮两次进行，夏粮每年5月底前公示，发放时间主要集中在7月，秋粮每年9月前公示，发放时间主要集中在11月。因此，我市难以实现6月30日完成发放耕地地力保护补贴的要求。</w:t>
      </w:r>
    </w:p>
    <w:p w14:paraId="4666D57B">
      <w:pPr>
        <w:spacing w:line="560" w:lineRule="exact"/>
        <w:ind w:firstLine="600" w:firstLineChars="200"/>
        <w:rPr>
          <w:rFonts w:eastAsia="黑体"/>
          <w:bCs/>
          <w:sz w:val="30"/>
          <w:szCs w:val="32"/>
        </w:rPr>
      </w:pPr>
      <w:r>
        <w:rPr>
          <w:rFonts w:eastAsia="黑体"/>
          <w:bCs/>
          <w:sz w:val="30"/>
          <w:szCs w:val="32"/>
        </w:rPr>
        <w:t>四、绩效自评结果拟应用和公开情况</w:t>
      </w:r>
    </w:p>
    <w:p w14:paraId="6554C98C">
      <w:pPr>
        <w:spacing w:line="560" w:lineRule="exact"/>
        <w:ind w:firstLine="640" w:firstLineChars="200"/>
        <w:rPr>
          <w:rFonts w:eastAsia="黑体"/>
          <w:bCs/>
          <w:sz w:val="30"/>
          <w:szCs w:val="32"/>
        </w:rPr>
      </w:pPr>
      <w:r>
        <w:rPr>
          <w:rFonts w:eastAsia="仿宋_GB2312"/>
          <w:color w:val="000000"/>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进行应用，向社会公开，自觉接受社会各界监督，从而在强化评价结果导向机制方面发挥更大作用，为改进资金项目管理以及完善相关政策提供重要依据。</w:t>
      </w:r>
    </w:p>
    <w:p w14:paraId="2B9E2116">
      <w:pPr>
        <w:spacing w:line="560" w:lineRule="exact"/>
        <w:ind w:firstLine="600" w:firstLineChars="200"/>
        <w:rPr>
          <w:rFonts w:eastAsia="黑体"/>
          <w:bCs/>
          <w:sz w:val="30"/>
          <w:szCs w:val="32"/>
        </w:rPr>
      </w:pPr>
      <w:r>
        <w:rPr>
          <w:rFonts w:eastAsia="黑体"/>
          <w:bCs/>
          <w:sz w:val="30"/>
          <w:szCs w:val="32"/>
        </w:rPr>
        <w:t>五、其他需要说明的问题</w:t>
      </w:r>
    </w:p>
    <w:p w14:paraId="7B83DFEA">
      <w:pPr>
        <w:spacing w:line="560" w:lineRule="exact"/>
        <w:ind w:firstLine="640" w:firstLineChars="200"/>
        <w:rPr>
          <w:rFonts w:eastAsia="仿宋_GB2312"/>
          <w:sz w:val="32"/>
          <w:szCs w:val="32"/>
        </w:rPr>
      </w:pPr>
      <w:r>
        <w:rPr>
          <w:rFonts w:eastAsia="仿宋_GB2312"/>
          <w:sz w:val="32"/>
          <w:szCs w:val="32"/>
        </w:rPr>
        <w:t>无。</w:t>
      </w:r>
    </w:p>
    <w:p w14:paraId="2F8DD98B">
      <w:pPr>
        <w:spacing w:line="560" w:lineRule="exact"/>
        <w:ind w:firstLine="640" w:firstLineChars="200"/>
        <w:rPr>
          <w:rFonts w:eastAsia="仿宋_GB2312"/>
          <w:sz w:val="32"/>
          <w:szCs w:val="32"/>
        </w:rPr>
      </w:pPr>
    </w:p>
    <w:p w14:paraId="169155AD">
      <w:pPr>
        <w:spacing w:line="560" w:lineRule="exact"/>
        <w:ind w:firstLine="640" w:firstLineChars="200"/>
        <w:rPr>
          <w:rFonts w:eastAsia="仿宋_GB2312"/>
          <w:color w:val="000000"/>
          <w:sz w:val="32"/>
          <w:szCs w:val="32"/>
        </w:rPr>
      </w:pPr>
      <w:r>
        <w:rPr>
          <w:rFonts w:eastAsia="仿宋_GB2312"/>
          <w:color w:val="000000"/>
          <w:sz w:val="32"/>
          <w:szCs w:val="32"/>
        </w:rPr>
        <w:t>附</w:t>
      </w:r>
      <w:r>
        <w:rPr>
          <w:rFonts w:hint="eastAsia" w:eastAsia="仿宋_GB2312"/>
          <w:color w:val="000000"/>
          <w:sz w:val="32"/>
          <w:szCs w:val="32"/>
          <w:lang w:eastAsia="zh-CN"/>
        </w:rPr>
        <w:t>件</w:t>
      </w:r>
      <w:r>
        <w:rPr>
          <w:rFonts w:eastAsia="仿宋_GB2312"/>
          <w:color w:val="000000"/>
          <w:sz w:val="32"/>
          <w:szCs w:val="32"/>
        </w:rPr>
        <w:t>：</w:t>
      </w:r>
      <w:r>
        <w:rPr>
          <w:rFonts w:hint="eastAsia" w:eastAsia="仿宋_GB2312"/>
          <w:color w:val="000000"/>
          <w:sz w:val="32"/>
          <w:szCs w:val="32"/>
          <w:lang w:eastAsia="zh-CN"/>
        </w:rPr>
        <w:t>天津市农业生产发展资金区域绩效目标自评表</w:t>
      </w:r>
    </w:p>
    <w:p w14:paraId="25CF07A0">
      <w:pPr>
        <w:spacing w:line="560" w:lineRule="exact"/>
        <w:ind w:firstLine="640" w:firstLineChars="200"/>
        <w:rPr>
          <w:rFonts w:eastAsia="仿宋_GB2312"/>
          <w:color w:val="000000"/>
          <w:sz w:val="32"/>
          <w:szCs w:val="32"/>
        </w:rPr>
      </w:pPr>
    </w:p>
    <w:p w14:paraId="421C13EE">
      <w:pPr>
        <w:rPr>
          <w:rFonts w:eastAsia="黑体"/>
          <w:bCs/>
          <w:sz w:val="30"/>
          <w:szCs w:val="44"/>
        </w:rPr>
      </w:pPr>
    </w:p>
    <w:p w14:paraId="25B9AC68">
      <w:pPr>
        <w:rPr>
          <w:rFonts w:eastAsia="黑体"/>
          <w:bCs/>
          <w:sz w:val="30"/>
          <w:szCs w:val="44"/>
        </w:rPr>
      </w:pPr>
    </w:p>
    <w:p w14:paraId="3B5CF075">
      <w:pPr>
        <w:rPr>
          <w:rFonts w:eastAsia="黑体"/>
          <w:bCs/>
          <w:sz w:val="30"/>
          <w:szCs w:val="44"/>
        </w:rPr>
      </w:pPr>
    </w:p>
    <w:p w14:paraId="48468FEF">
      <w:pPr>
        <w:rPr>
          <w:rFonts w:eastAsia="黑体"/>
          <w:bCs/>
          <w:sz w:val="30"/>
          <w:szCs w:val="44"/>
        </w:rPr>
      </w:pPr>
    </w:p>
    <w:p w14:paraId="4D483AC2">
      <w:pPr>
        <w:rPr>
          <w:rFonts w:eastAsia="黑体"/>
          <w:bCs/>
          <w:sz w:val="30"/>
          <w:szCs w:val="44"/>
        </w:rPr>
      </w:pPr>
    </w:p>
    <w:p w14:paraId="50E799FC">
      <w:pPr>
        <w:rPr>
          <w:rFonts w:eastAsia="黑体"/>
          <w:bCs/>
          <w:sz w:val="30"/>
          <w:szCs w:val="44"/>
        </w:rPr>
      </w:pPr>
    </w:p>
    <w:p w14:paraId="75D73490">
      <w:pPr>
        <w:rPr>
          <w:rFonts w:eastAsia="黑体"/>
          <w:bCs/>
          <w:sz w:val="30"/>
          <w:szCs w:val="44"/>
        </w:rPr>
      </w:pPr>
    </w:p>
    <w:p w14:paraId="39334827">
      <w:pPr>
        <w:rPr>
          <w:rFonts w:eastAsia="黑体"/>
          <w:bCs/>
          <w:sz w:val="30"/>
          <w:szCs w:val="44"/>
        </w:rPr>
      </w:pPr>
    </w:p>
    <w:p w14:paraId="3DBEAF8A">
      <w:pPr>
        <w:rPr>
          <w:rFonts w:eastAsia="黑体"/>
          <w:bCs/>
          <w:sz w:val="30"/>
          <w:szCs w:val="44"/>
        </w:rPr>
      </w:pPr>
      <w:r>
        <w:rPr>
          <w:rFonts w:eastAsia="黑体"/>
          <w:bCs/>
          <w:sz w:val="30"/>
          <w:szCs w:val="44"/>
        </w:rPr>
        <w:t>附件2</w:t>
      </w:r>
    </w:p>
    <w:p w14:paraId="72CFDE48">
      <w:pPr>
        <w:spacing w:line="600" w:lineRule="exact"/>
        <w:jc w:val="center"/>
        <w:rPr>
          <w:rFonts w:eastAsia="方正小标宋简体"/>
          <w:color w:val="auto"/>
          <w:sz w:val="40"/>
          <w:szCs w:val="44"/>
        </w:rPr>
      </w:pPr>
      <w:r>
        <w:rPr>
          <w:rFonts w:eastAsia="方正小标宋简体"/>
          <w:color w:val="auto"/>
          <w:sz w:val="40"/>
          <w:szCs w:val="44"/>
        </w:rPr>
        <w:t>天津市农业资源及生态保护资金</w:t>
      </w:r>
    </w:p>
    <w:p w14:paraId="0053605C">
      <w:pPr>
        <w:spacing w:line="600" w:lineRule="exact"/>
        <w:jc w:val="center"/>
        <w:rPr>
          <w:rFonts w:eastAsia="方正小标宋简体"/>
          <w:color w:val="auto"/>
          <w:sz w:val="40"/>
          <w:szCs w:val="44"/>
        </w:rPr>
      </w:pPr>
      <w:r>
        <w:rPr>
          <w:rFonts w:eastAsia="方正小标宋简体"/>
          <w:color w:val="auto"/>
          <w:sz w:val="40"/>
          <w:szCs w:val="44"/>
        </w:rPr>
        <w:t>转移支付2022年度绩效自评报告</w:t>
      </w:r>
    </w:p>
    <w:p w14:paraId="04ECC8E2">
      <w:pPr>
        <w:spacing w:line="400" w:lineRule="exact"/>
        <w:jc w:val="center"/>
        <w:rPr>
          <w:rFonts w:eastAsia="方正小标宋简体"/>
          <w:color w:val="auto"/>
          <w:sz w:val="40"/>
          <w:szCs w:val="44"/>
        </w:rPr>
      </w:pPr>
    </w:p>
    <w:p w14:paraId="5A9A6336">
      <w:pPr>
        <w:spacing w:line="560" w:lineRule="exact"/>
        <w:ind w:firstLine="640" w:firstLineChars="200"/>
        <w:rPr>
          <w:rFonts w:eastAsia="黑体"/>
          <w:bCs/>
          <w:color w:val="auto"/>
          <w:sz w:val="32"/>
          <w:szCs w:val="32"/>
        </w:rPr>
      </w:pPr>
      <w:r>
        <w:rPr>
          <w:rFonts w:eastAsia="黑体"/>
          <w:bCs/>
          <w:color w:val="auto"/>
          <w:sz w:val="32"/>
          <w:szCs w:val="32"/>
        </w:rPr>
        <w:t>一、绩效目标分解下达情况</w:t>
      </w:r>
    </w:p>
    <w:p w14:paraId="20ED22C3">
      <w:pPr>
        <w:spacing w:line="560" w:lineRule="exact"/>
        <w:ind w:firstLine="643" w:firstLineChars="200"/>
        <w:rPr>
          <w:rFonts w:eastAsia="仿宋_GB2312"/>
          <w:color w:val="auto"/>
          <w:sz w:val="32"/>
          <w:szCs w:val="32"/>
          <w:highlight w:val="yellow"/>
        </w:rPr>
      </w:pPr>
      <w:r>
        <w:rPr>
          <w:rFonts w:eastAsia="楷体_GB2312"/>
          <w:b/>
          <w:color w:val="auto"/>
          <w:sz w:val="32"/>
          <w:szCs w:val="32"/>
        </w:rPr>
        <w:t>（一）中央下达预算和绩效目标情况。</w:t>
      </w:r>
      <w:r>
        <w:rPr>
          <w:rFonts w:eastAsia="仿宋_GB2312"/>
          <w:color w:val="auto"/>
          <w:sz w:val="32"/>
          <w:szCs w:val="32"/>
        </w:rPr>
        <w:t>2022年，中央下达我市农业资源及生态保护资金转移支付预算6256万元，下达区域绩效目标为：“按照相关规划或实施方案，根据任务清单并结合地方实际开展农业资源及生态保护”。</w:t>
      </w:r>
    </w:p>
    <w:p w14:paraId="107C7ACB">
      <w:pPr>
        <w:spacing w:line="560" w:lineRule="exact"/>
        <w:ind w:firstLine="643" w:firstLineChars="200"/>
        <w:rPr>
          <w:rFonts w:eastAsia="仿宋_GB2312"/>
          <w:color w:val="auto"/>
          <w:sz w:val="32"/>
          <w:szCs w:val="32"/>
        </w:rPr>
      </w:pPr>
      <w:r>
        <w:rPr>
          <w:rFonts w:eastAsia="楷体_GB2312"/>
          <w:b/>
          <w:color w:val="auto"/>
          <w:sz w:val="32"/>
          <w:szCs w:val="32"/>
        </w:rPr>
        <w:t>（二）我市分解下达预算和绩效目标情况。</w:t>
      </w:r>
      <w:r>
        <w:rPr>
          <w:rFonts w:eastAsia="仿宋_GB2312"/>
          <w:color w:val="auto"/>
          <w:sz w:val="32"/>
        </w:rPr>
        <w:t>按照《财政部关于提前下达2022年农业相关转移支付资金预算的通知》</w:t>
      </w:r>
      <w:r>
        <w:rPr>
          <w:rFonts w:eastAsia="仿宋_GB2312"/>
          <w:color w:val="auto"/>
          <w:sz w:val="32"/>
          <w:szCs w:val="32"/>
        </w:rPr>
        <w:t>（财农〔2021〕114号）、《财政部关于下达2022年农业资源及生态保护补助资金预算的通知》（财农〔2022〕35号）要求，结合我市实际，2021年12月和2022年5月，我市通过《天津市财政局关于提前下达中央</w:t>
      </w:r>
      <w:r>
        <w:rPr>
          <w:rFonts w:hint="eastAsia" w:eastAsia="仿宋_GB2312"/>
          <w:color w:val="auto"/>
          <w:sz w:val="32"/>
          <w:szCs w:val="32"/>
        </w:rPr>
        <w:t>和市</w:t>
      </w:r>
      <w:r>
        <w:rPr>
          <w:rFonts w:eastAsia="仿宋_GB2312"/>
          <w:color w:val="auto"/>
          <w:sz w:val="32"/>
          <w:szCs w:val="32"/>
        </w:rPr>
        <w:t>财政2022年农业农村专移支付预算</w:t>
      </w:r>
      <w:r>
        <w:rPr>
          <w:rFonts w:hint="eastAsia" w:eastAsia="仿宋_GB2312"/>
          <w:color w:val="auto"/>
          <w:sz w:val="32"/>
          <w:szCs w:val="32"/>
        </w:rPr>
        <w:t>指标</w:t>
      </w:r>
      <w:r>
        <w:rPr>
          <w:rFonts w:eastAsia="仿宋_GB2312"/>
          <w:color w:val="auto"/>
          <w:sz w:val="32"/>
          <w:szCs w:val="32"/>
        </w:rPr>
        <w:t>的通知》（津财农指〔2021〕47号）、《天津市财政局关于下达2022年中央财政农业生产发展等预算资金的通知》（津财农指〔2021〕12号）等文件，及时将中央财政资金和区域绩效目标等同步分解下达，其中：蓟州区630.7万元、宝坻区</w:t>
      </w:r>
      <w:r>
        <w:rPr>
          <w:rFonts w:eastAsia="仿宋_GB2312"/>
          <w:color w:val="auto"/>
          <w:sz w:val="32"/>
          <w:szCs w:val="32"/>
          <w:lang w:val="en"/>
        </w:rPr>
        <w:t>977.6</w:t>
      </w:r>
      <w:r>
        <w:rPr>
          <w:rFonts w:eastAsia="仿宋_GB2312"/>
          <w:color w:val="auto"/>
          <w:sz w:val="32"/>
          <w:szCs w:val="32"/>
        </w:rPr>
        <w:t>万元、武清区775.8万元、宁河区795.1万元、静海区940.8万元、东丽区54.3万元、津南区92.4万元、西青区63.6万元、北辰区93.5万元、滨海新区303.2万元、市级部门</w:t>
      </w:r>
      <w:r>
        <w:rPr>
          <w:rFonts w:eastAsia="仿宋_GB2312"/>
          <w:color w:val="auto"/>
          <w:sz w:val="32"/>
          <w:szCs w:val="32"/>
          <w:lang w:val="en"/>
        </w:rPr>
        <w:t>1529</w:t>
      </w:r>
      <w:r>
        <w:rPr>
          <w:rFonts w:eastAsia="仿宋_GB2312"/>
          <w:color w:val="auto"/>
          <w:sz w:val="32"/>
          <w:szCs w:val="32"/>
        </w:rPr>
        <w:t>万元。</w:t>
      </w:r>
    </w:p>
    <w:p w14:paraId="0CB07DDE">
      <w:pPr>
        <w:spacing w:line="560" w:lineRule="exact"/>
        <w:ind w:firstLine="640" w:firstLineChars="200"/>
        <w:rPr>
          <w:rFonts w:eastAsia="黑体"/>
          <w:bCs/>
          <w:color w:val="auto"/>
          <w:sz w:val="32"/>
          <w:szCs w:val="32"/>
        </w:rPr>
      </w:pPr>
      <w:r>
        <w:rPr>
          <w:rFonts w:eastAsia="黑体"/>
          <w:bCs/>
          <w:color w:val="auto"/>
          <w:sz w:val="32"/>
          <w:szCs w:val="32"/>
        </w:rPr>
        <w:t>二、绩效目标完成情况分析</w:t>
      </w:r>
    </w:p>
    <w:p w14:paraId="39F3F361">
      <w:pPr>
        <w:spacing w:line="560" w:lineRule="exact"/>
        <w:ind w:firstLine="643" w:firstLineChars="200"/>
        <w:outlineLvl w:val="0"/>
        <w:rPr>
          <w:rFonts w:eastAsia="楷体_GB2312"/>
          <w:bCs/>
          <w:color w:val="auto"/>
          <w:sz w:val="32"/>
          <w:szCs w:val="32"/>
        </w:rPr>
      </w:pPr>
      <w:r>
        <w:rPr>
          <w:rFonts w:eastAsia="楷体_GB2312"/>
          <w:b/>
          <w:bCs/>
          <w:color w:val="auto"/>
          <w:sz w:val="32"/>
          <w:szCs w:val="32"/>
        </w:rPr>
        <w:t>（一）资金投入情况分析</w:t>
      </w:r>
    </w:p>
    <w:p w14:paraId="089BE94B">
      <w:pPr>
        <w:spacing w:line="560" w:lineRule="exact"/>
        <w:ind w:firstLine="643" w:firstLineChars="200"/>
        <w:rPr>
          <w:rFonts w:eastAsia="仿宋_GB2312"/>
          <w:color w:val="auto"/>
          <w:sz w:val="32"/>
          <w:szCs w:val="32"/>
        </w:rPr>
      </w:pPr>
      <w:r>
        <w:rPr>
          <w:rFonts w:eastAsia="仿宋_GB2312"/>
          <w:b/>
          <w:color w:val="auto"/>
          <w:sz w:val="32"/>
          <w:szCs w:val="32"/>
        </w:rPr>
        <w:t>1.项目资金到位情况分析。</w:t>
      </w:r>
      <w:r>
        <w:rPr>
          <w:rFonts w:eastAsia="仿宋_GB2312"/>
          <w:color w:val="auto"/>
          <w:sz w:val="32"/>
          <w:szCs w:val="32"/>
        </w:rPr>
        <w:t>按照中央有关要求，2021年12月和2022年2月、5月，我市通过《天津市财政局关于提前下达中央</w:t>
      </w:r>
      <w:r>
        <w:rPr>
          <w:rFonts w:hint="eastAsia" w:eastAsia="仿宋_GB2312"/>
          <w:color w:val="auto"/>
          <w:sz w:val="32"/>
          <w:szCs w:val="32"/>
        </w:rPr>
        <w:t>和市</w:t>
      </w:r>
      <w:r>
        <w:rPr>
          <w:rFonts w:eastAsia="仿宋_GB2312"/>
          <w:color w:val="auto"/>
          <w:sz w:val="32"/>
          <w:szCs w:val="32"/>
        </w:rPr>
        <w:t>财政2022年农业农村专移支付预算</w:t>
      </w:r>
      <w:r>
        <w:rPr>
          <w:rFonts w:hint="eastAsia" w:eastAsia="仿宋_GB2312"/>
          <w:color w:val="auto"/>
          <w:sz w:val="32"/>
          <w:szCs w:val="32"/>
        </w:rPr>
        <w:t>指标</w:t>
      </w:r>
      <w:r>
        <w:rPr>
          <w:rFonts w:eastAsia="仿宋_GB2312"/>
          <w:color w:val="auto"/>
          <w:sz w:val="32"/>
          <w:szCs w:val="32"/>
        </w:rPr>
        <w:t>的通知》（津财农指〔2021〕47号）、《天津市财政局关于批复2022年部门预算的通知》（津财预指〔2022〕100号）、《天津市财政局关于下达2022年中央财政农业生产发展等预算资金的通知》（津财农指〔2022〕12号），及时将中央财政2022年</w:t>
      </w:r>
      <w:r>
        <w:rPr>
          <w:rFonts w:hint="eastAsia" w:eastAsia="仿宋_GB2312"/>
          <w:color w:val="auto"/>
          <w:sz w:val="32"/>
          <w:szCs w:val="32"/>
        </w:rPr>
        <w:t>农业资源及生态保护补助资金</w:t>
      </w:r>
      <w:r>
        <w:rPr>
          <w:rFonts w:eastAsia="仿宋_GB2312"/>
          <w:color w:val="auto"/>
          <w:sz w:val="32"/>
          <w:szCs w:val="32"/>
        </w:rPr>
        <w:t>预算</w:t>
      </w:r>
      <w:r>
        <w:rPr>
          <w:rFonts w:hint="eastAsia" w:eastAsia="仿宋_GB2312"/>
          <w:color w:val="auto"/>
          <w:sz w:val="32"/>
          <w:szCs w:val="32"/>
        </w:rPr>
        <w:t>6</w:t>
      </w:r>
      <w:r>
        <w:rPr>
          <w:rFonts w:eastAsia="仿宋_GB2312"/>
          <w:color w:val="auto"/>
          <w:sz w:val="32"/>
          <w:szCs w:val="32"/>
        </w:rPr>
        <w:t>256万元下达至各相关区和市级部门，其中：</w:t>
      </w:r>
      <w:r>
        <w:rPr>
          <w:rFonts w:hint="eastAsia" w:eastAsia="仿宋_GB2312"/>
          <w:color w:val="auto"/>
          <w:sz w:val="32"/>
          <w:szCs w:val="32"/>
        </w:rPr>
        <w:t>化肥减量增效示范5</w:t>
      </w:r>
      <w:r>
        <w:rPr>
          <w:rFonts w:eastAsia="仿宋_GB2312"/>
          <w:color w:val="auto"/>
          <w:sz w:val="32"/>
          <w:szCs w:val="32"/>
        </w:rPr>
        <w:t>50万元、</w:t>
      </w:r>
      <w:r>
        <w:rPr>
          <w:rFonts w:hint="eastAsia" w:eastAsia="仿宋_GB2312"/>
          <w:color w:val="auto"/>
          <w:sz w:val="32"/>
          <w:szCs w:val="32"/>
        </w:rPr>
        <w:t>农机深松整地作业6</w:t>
      </w:r>
      <w:r>
        <w:rPr>
          <w:rFonts w:eastAsia="仿宋_GB2312"/>
          <w:color w:val="auto"/>
          <w:sz w:val="32"/>
          <w:szCs w:val="32"/>
        </w:rPr>
        <w:t>11</w:t>
      </w:r>
      <w:r>
        <w:rPr>
          <w:rFonts w:hint="eastAsia" w:eastAsia="仿宋_GB2312"/>
          <w:color w:val="auto"/>
          <w:sz w:val="32"/>
          <w:szCs w:val="32"/>
        </w:rPr>
        <w:t>万元、农作物秸秆综合利用3</w:t>
      </w:r>
      <w:r>
        <w:rPr>
          <w:rFonts w:eastAsia="仿宋_GB2312"/>
          <w:color w:val="auto"/>
          <w:sz w:val="32"/>
          <w:szCs w:val="32"/>
        </w:rPr>
        <w:t>613</w:t>
      </w:r>
      <w:r>
        <w:rPr>
          <w:rFonts w:hint="eastAsia" w:eastAsia="仿宋_GB2312"/>
          <w:color w:val="auto"/>
          <w:sz w:val="32"/>
          <w:szCs w:val="32"/>
        </w:rPr>
        <w:t>万元、渔业增殖放流8</w:t>
      </w:r>
      <w:r>
        <w:rPr>
          <w:rFonts w:eastAsia="仿宋_GB2312"/>
          <w:color w:val="auto"/>
          <w:sz w:val="32"/>
          <w:szCs w:val="32"/>
        </w:rPr>
        <w:t>65</w:t>
      </w:r>
      <w:r>
        <w:rPr>
          <w:rFonts w:hint="eastAsia" w:eastAsia="仿宋_GB2312"/>
          <w:color w:val="auto"/>
          <w:sz w:val="32"/>
          <w:szCs w:val="32"/>
        </w:rPr>
        <w:t>万元、土壤普查试点和盐碱地普查6</w:t>
      </w:r>
      <w:r>
        <w:rPr>
          <w:rFonts w:eastAsia="仿宋_GB2312"/>
          <w:color w:val="auto"/>
          <w:sz w:val="32"/>
          <w:szCs w:val="32"/>
        </w:rPr>
        <w:t>17</w:t>
      </w:r>
      <w:r>
        <w:rPr>
          <w:rFonts w:hint="eastAsia" w:eastAsia="仿宋_GB2312"/>
          <w:color w:val="auto"/>
          <w:sz w:val="32"/>
          <w:szCs w:val="32"/>
        </w:rPr>
        <w:t>万元。</w:t>
      </w:r>
    </w:p>
    <w:p w14:paraId="529EF5DC">
      <w:pPr>
        <w:spacing w:line="560" w:lineRule="exact"/>
        <w:ind w:firstLine="640" w:firstLineChars="200"/>
        <w:rPr>
          <w:rFonts w:eastAsia="仿宋_GB2312"/>
          <w:color w:val="auto"/>
          <w:sz w:val="32"/>
          <w:szCs w:val="32"/>
        </w:rPr>
      </w:pPr>
      <w:r>
        <w:rPr>
          <w:rFonts w:eastAsia="仿宋_GB2312"/>
          <w:color w:val="auto"/>
          <w:sz w:val="32"/>
          <w:szCs w:val="32"/>
        </w:rPr>
        <w:t>此外，我市通过</w:t>
      </w:r>
      <w:r>
        <w:rPr>
          <w:rFonts w:hint="eastAsia" w:eastAsia="仿宋_GB2312"/>
          <w:color w:val="auto"/>
          <w:sz w:val="32"/>
          <w:szCs w:val="32"/>
        </w:rPr>
        <w:t>《天津市财政局关于提前下达中央和市财政2022年农业农村专移支付预算指标的通知》（津财农指〔2021〕47号）</w:t>
      </w:r>
      <w:r>
        <w:rPr>
          <w:rFonts w:eastAsia="仿宋_GB2312"/>
          <w:color w:val="auto"/>
          <w:sz w:val="32"/>
          <w:szCs w:val="32"/>
        </w:rPr>
        <w:t>等文件，将市级开展农业资源及生态保护补助资金6980.8万元预算下达至各涉农区</w:t>
      </w:r>
      <w:r>
        <w:rPr>
          <w:rFonts w:hint="eastAsia" w:eastAsia="仿宋_GB2312"/>
          <w:color w:val="auto"/>
          <w:sz w:val="32"/>
          <w:szCs w:val="32"/>
        </w:rPr>
        <w:t>和市级相关部门</w:t>
      </w:r>
      <w:r>
        <w:rPr>
          <w:rFonts w:eastAsia="仿宋_GB2312"/>
          <w:color w:val="auto"/>
          <w:sz w:val="32"/>
          <w:szCs w:val="32"/>
        </w:rPr>
        <w:t>。</w:t>
      </w:r>
    </w:p>
    <w:p w14:paraId="35629D7F">
      <w:pPr>
        <w:spacing w:line="560" w:lineRule="exact"/>
        <w:ind w:firstLine="643" w:firstLineChars="200"/>
        <w:rPr>
          <w:rFonts w:eastAsia="仿宋_GB2312"/>
          <w:color w:val="auto"/>
          <w:sz w:val="32"/>
          <w:szCs w:val="32"/>
        </w:rPr>
      </w:pPr>
      <w:r>
        <w:rPr>
          <w:rFonts w:eastAsia="仿宋_GB2312"/>
          <w:b/>
          <w:color w:val="auto"/>
          <w:sz w:val="32"/>
          <w:szCs w:val="32"/>
        </w:rPr>
        <w:t>2.项目资金执行情况分析。</w:t>
      </w:r>
      <w:r>
        <w:rPr>
          <w:rFonts w:eastAsia="仿宋_GB2312"/>
          <w:color w:val="auto"/>
          <w:sz w:val="32"/>
          <w:szCs w:val="32"/>
        </w:rPr>
        <w:t>年度资金总额13449万元、已执行</w:t>
      </w:r>
      <w:r>
        <w:rPr>
          <w:rFonts w:hint="eastAsia" w:eastAsia="仿宋_GB2312"/>
          <w:color w:val="auto"/>
          <w:sz w:val="32"/>
          <w:szCs w:val="32"/>
          <w:lang w:val="en-US" w:eastAsia="zh-CN"/>
        </w:rPr>
        <w:t>7050</w:t>
      </w:r>
      <w:r>
        <w:rPr>
          <w:rFonts w:eastAsia="仿宋_GB2312"/>
          <w:color w:val="auto"/>
          <w:sz w:val="32"/>
          <w:szCs w:val="32"/>
        </w:rPr>
        <w:t>万元、执行率5</w:t>
      </w:r>
      <w:r>
        <w:rPr>
          <w:rFonts w:hint="eastAsia" w:eastAsia="仿宋_GB2312"/>
          <w:color w:val="auto"/>
          <w:sz w:val="32"/>
          <w:szCs w:val="32"/>
          <w:lang w:val="en-US" w:eastAsia="zh-CN"/>
        </w:rPr>
        <w:t>2</w:t>
      </w:r>
      <w:r>
        <w:rPr>
          <w:rFonts w:eastAsia="仿宋_GB2312"/>
          <w:color w:val="auto"/>
          <w:sz w:val="32"/>
          <w:szCs w:val="32"/>
        </w:rPr>
        <w:t>.4%，其中：中央财政资金6256万元、已执行4366万元、执行率69.8%，地方资金6981万元、已执行2551万元、执行率36.5%，其他资金212万元、已执行132万元、执行率62.4%。</w:t>
      </w:r>
    </w:p>
    <w:p w14:paraId="594B5AD5">
      <w:pPr>
        <w:spacing w:line="560" w:lineRule="exact"/>
        <w:ind w:firstLine="643" w:firstLineChars="200"/>
        <w:rPr>
          <w:rFonts w:eastAsia="仿宋_GB2312"/>
          <w:color w:val="auto"/>
          <w:sz w:val="32"/>
          <w:szCs w:val="32"/>
          <w:highlight w:val="yellow"/>
        </w:rPr>
      </w:pPr>
      <w:r>
        <w:rPr>
          <w:rFonts w:eastAsia="仿宋_GB2312"/>
          <w:b/>
          <w:color w:val="auto"/>
          <w:sz w:val="32"/>
          <w:szCs w:val="32"/>
        </w:rPr>
        <w:t>3.项目资金管理情况分析。</w:t>
      </w:r>
      <w:r>
        <w:rPr>
          <w:rFonts w:eastAsia="仿宋_GB2312"/>
          <w:color w:val="auto"/>
          <w:sz w:val="32"/>
          <w:szCs w:val="32"/>
        </w:rPr>
        <w:t>一是及时拨付资金。按照财政部、农业农村部要求，我市及时分解下达中央财政农业资源及生态保护补助资金，资金拨付程序规范、手续完备，不存在统筹使用约束性任务资金等情况。二是实行“大专项+任务清单”管理。按照《天津市人民政府办公厅印发关于探索建立我市涉农资金统筹整合长效机制的实施方案的通知》（津政办函〔2018〕14号）要求，制定任务清单，区分约束性任务和指导性任务，实施差别化管理。三是统筹使用中央和市级资金形成政策合力。我市在编制市级实施方案时，注重统筹考虑中央和市级政策，为确保更好的完成各项重点任务，将财政资金统筹安排使用。</w:t>
      </w:r>
    </w:p>
    <w:p w14:paraId="271156A3">
      <w:pPr>
        <w:spacing w:line="560" w:lineRule="exact"/>
        <w:ind w:firstLine="643" w:firstLineChars="200"/>
        <w:outlineLvl w:val="0"/>
        <w:rPr>
          <w:rFonts w:eastAsia="楷体_GB2312"/>
          <w:b/>
          <w:bCs/>
          <w:color w:val="auto"/>
          <w:sz w:val="32"/>
          <w:szCs w:val="32"/>
        </w:rPr>
      </w:pPr>
      <w:r>
        <w:rPr>
          <w:rFonts w:eastAsia="楷体_GB2312"/>
          <w:b/>
          <w:bCs/>
          <w:color w:val="auto"/>
          <w:sz w:val="32"/>
          <w:szCs w:val="32"/>
        </w:rPr>
        <w:t>（二）总体绩效目标完成情况分析</w:t>
      </w:r>
    </w:p>
    <w:p w14:paraId="1D162EF5">
      <w:pPr>
        <w:spacing w:line="560" w:lineRule="exact"/>
        <w:ind w:firstLine="640" w:firstLineChars="200"/>
        <w:outlineLvl w:val="0"/>
        <w:rPr>
          <w:rFonts w:eastAsia="仿宋_GB2312"/>
          <w:color w:val="auto"/>
          <w:sz w:val="32"/>
          <w:szCs w:val="32"/>
        </w:rPr>
      </w:pPr>
      <w:r>
        <w:rPr>
          <w:rFonts w:eastAsia="仿宋_GB2312"/>
          <w:color w:val="auto"/>
          <w:sz w:val="32"/>
          <w:szCs w:val="32"/>
        </w:rPr>
        <w:t>2022年中央下达我市年度总体绩效目标为：“按照相关规划或实施方案，根据任务清单并结合地方实际开展农业资源及生态保护”，上述目标截至目前已全部完成。</w:t>
      </w:r>
    </w:p>
    <w:p w14:paraId="76E6977E">
      <w:pPr>
        <w:spacing w:line="560" w:lineRule="exact"/>
        <w:ind w:firstLine="640" w:firstLineChars="200"/>
        <w:outlineLvl w:val="0"/>
        <w:rPr>
          <w:rFonts w:eastAsia="仿宋_GB2312"/>
          <w:color w:val="auto"/>
          <w:sz w:val="32"/>
          <w:szCs w:val="32"/>
        </w:rPr>
      </w:pPr>
      <w:r>
        <w:rPr>
          <w:rFonts w:eastAsia="仿宋_GB2312"/>
          <w:color w:val="auto"/>
          <w:sz w:val="32"/>
          <w:szCs w:val="32"/>
        </w:rPr>
        <w:t>全年实际完成情况如下：</w:t>
      </w:r>
    </w:p>
    <w:p w14:paraId="7818B761">
      <w:pPr>
        <w:spacing w:line="560" w:lineRule="exact"/>
        <w:ind w:firstLine="640" w:firstLineChars="200"/>
        <w:outlineLvl w:val="0"/>
        <w:rPr>
          <w:rFonts w:hint="eastAsia" w:eastAsia="仿宋_GB2312"/>
          <w:color w:val="auto"/>
          <w:sz w:val="32"/>
          <w:szCs w:val="32"/>
        </w:rPr>
      </w:pPr>
      <w:r>
        <w:rPr>
          <w:rFonts w:hint="eastAsia" w:eastAsia="仿宋_GB2312"/>
          <w:color w:val="auto"/>
          <w:sz w:val="32"/>
          <w:szCs w:val="32"/>
        </w:rPr>
        <w:t>1.</w:t>
      </w:r>
      <w:r>
        <w:rPr>
          <w:rFonts w:hint="eastAsia"/>
          <w:color w:val="auto"/>
        </w:rPr>
        <w:t xml:space="preserve"> </w:t>
      </w:r>
      <w:r>
        <w:rPr>
          <w:rFonts w:hint="eastAsia" w:eastAsia="仿宋_GB2312"/>
          <w:color w:val="auto"/>
          <w:sz w:val="32"/>
          <w:szCs w:val="32"/>
        </w:rPr>
        <w:t>实施化肥减量增效示范和科学施肥基础性工作，进行田间肥效试验52个；2</w:t>
      </w:r>
      <w:r>
        <w:rPr>
          <w:rFonts w:eastAsia="仿宋_GB2312"/>
          <w:color w:val="auto"/>
          <w:sz w:val="32"/>
          <w:szCs w:val="32"/>
        </w:rPr>
        <w:t>.</w:t>
      </w:r>
      <w:r>
        <w:rPr>
          <w:rFonts w:hint="eastAsia" w:eastAsia="仿宋_GB2312"/>
          <w:color w:val="auto"/>
          <w:sz w:val="32"/>
          <w:szCs w:val="32"/>
        </w:rPr>
        <w:t>全市30万亩深松整地作业任务全部完成，作业质量符合农业行业标准，耕地蓄水保墒能力进一步增加；3. 实施农作物秸秆综合利用补助，促进农作物秸秆综合利用，进一步提高农作物秸秆利用率，秸秆综合利用重点区秸秆综合利用率达到98%以上；4</w:t>
      </w:r>
      <w:r>
        <w:rPr>
          <w:rFonts w:eastAsia="仿宋_GB2312"/>
          <w:color w:val="auto"/>
          <w:sz w:val="32"/>
          <w:szCs w:val="32"/>
        </w:rPr>
        <w:t>.</w:t>
      </w:r>
      <w:r>
        <w:rPr>
          <w:rFonts w:hint="eastAsia" w:eastAsia="仿宋_GB2312"/>
          <w:color w:val="auto"/>
          <w:sz w:val="32"/>
          <w:szCs w:val="32"/>
        </w:rPr>
        <w:t>实施渔业增殖放流，我市近岸海域放流中国对虾、三疣梭子蟹、花鲈、毛蚶等13个品种，共67433.94万单位，放流苗种经检验检疫的批次比例为100%，水域生态环境得到改善，渔业种群资源加快恢复；5. 根据全国土壤普查办《关于2022年12月土壤普查试点工作进展情况的通报》（国土壤普查办发[2023]2号），我市已全部完成2022年度土壤普查试点（宁河区）和盐碱地调查（滨海新区）相关任务；6</w:t>
      </w:r>
      <w:r>
        <w:rPr>
          <w:rFonts w:eastAsia="仿宋_GB2312"/>
          <w:color w:val="auto"/>
          <w:sz w:val="32"/>
          <w:szCs w:val="32"/>
        </w:rPr>
        <w:t>.</w:t>
      </w:r>
      <w:r>
        <w:rPr>
          <w:rFonts w:hint="eastAsia" w:eastAsia="仿宋_GB2312"/>
          <w:color w:val="auto"/>
          <w:sz w:val="32"/>
          <w:szCs w:val="32"/>
        </w:rPr>
        <w:t xml:space="preserve"> 开展粮豆轮作补贴7.2万亩；7</w:t>
      </w:r>
      <w:r>
        <w:rPr>
          <w:rFonts w:eastAsia="仿宋_GB2312"/>
          <w:color w:val="auto"/>
          <w:sz w:val="32"/>
          <w:szCs w:val="32"/>
        </w:rPr>
        <w:t>.</w:t>
      </w:r>
      <w:r>
        <w:rPr>
          <w:rFonts w:hint="eastAsia"/>
          <w:color w:val="auto"/>
        </w:rPr>
        <w:t xml:space="preserve"> </w:t>
      </w:r>
      <w:r>
        <w:rPr>
          <w:rFonts w:hint="eastAsia" w:eastAsia="仿宋_GB2312"/>
          <w:color w:val="auto"/>
          <w:sz w:val="32"/>
          <w:szCs w:val="32"/>
        </w:rPr>
        <w:t>开展耕地绿肥休耕0.8万亩；8. 开展农田残膜回收利用补助，</w:t>
      </w:r>
      <w:r>
        <w:rPr>
          <w:rFonts w:hint="default" w:eastAsia="仿宋_GB2312"/>
          <w:color w:val="auto"/>
          <w:sz w:val="32"/>
          <w:szCs w:val="32"/>
        </w:rPr>
        <w:t>因地制宜全面推进农膜回收利用，促进</w:t>
      </w:r>
      <w:r>
        <w:rPr>
          <w:rFonts w:hint="eastAsia" w:eastAsia="仿宋_GB2312"/>
          <w:color w:val="auto"/>
          <w:sz w:val="32"/>
          <w:szCs w:val="32"/>
          <w:lang w:eastAsia="zh-CN"/>
        </w:rPr>
        <w:t>农</w:t>
      </w:r>
      <w:r>
        <w:rPr>
          <w:rFonts w:hint="default" w:eastAsia="仿宋_GB2312"/>
          <w:color w:val="auto"/>
          <w:sz w:val="32"/>
          <w:szCs w:val="32"/>
        </w:rPr>
        <w:t>膜减量与回收，</w:t>
      </w:r>
      <w:r>
        <w:rPr>
          <w:rFonts w:hint="eastAsia" w:eastAsia="仿宋_GB2312"/>
          <w:color w:val="auto"/>
          <w:sz w:val="32"/>
          <w:szCs w:val="32"/>
          <w:lang w:val="en-US" w:eastAsia="zh-CN"/>
        </w:rPr>
        <w:t>202</w:t>
      </w:r>
      <w:r>
        <w:rPr>
          <w:rFonts w:hint="default" w:eastAsia="仿宋_GB2312"/>
          <w:color w:val="auto"/>
          <w:sz w:val="32"/>
          <w:szCs w:val="32"/>
          <w:lang w:eastAsia="zh-CN"/>
        </w:rPr>
        <w:t>2</w:t>
      </w:r>
      <w:r>
        <w:rPr>
          <w:rFonts w:hint="eastAsia" w:eastAsia="仿宋_GB2312"/>
          <w:color w:val="auto"/>
          <w:sz w:val="32"/>
          <w:szCs w:val="32"/>
          <w:lang w:val="en-US" w:eastAsia="zh-CN"/>
        </w:rPr>
        <w:t>年</w:t>
      </w:r>
      <w:r>
        <w:rPr>
          <w:rFonts w:hint="eastAsia" w:eastAsia="仿宋_GB2312"/>
          <w:color w:val="auto"/>
          <w:sz w:val="32"/>
          <w:szCs w:val="32"/>
          <w:lang w:eastAsia="zh-CN"/>
        </w:rPr>
        <w:t>农</w:t>
      </w:r>
      <w:r>
        <w:rPr>
          <w:rFonts w:hint="default" w:eastAsia="仿宋_GB2312"/>
          <w:color w:val="auto"/>
          <w:sz w:val="32"/>
          <w:szCs w:val="32"/>
        </w:rPr>
        <w:t>膜回收率</w:t>
      </w:r>
      <w:r>
        <w:rPr>
          <w:rFonts w:hint="eastAsia" w:eastAsia="仿宋_GB2312"/>
          <w:color w:val="auto"/>
          <w:sz w:val="32"/>
          <w:szCs w:val="32"/>
          <w:lang w:eastAsia="zh-CN"/>
        </w:rPr>
        <w:t>达到</w:t>
      </w:r>
      <w:r>
        <w:rPr>
          <w:rFonts w:hint="default" w:eastAsia="仿宋_GB2312"/>
          <w:color w:val="auto"/>
          <w:sz w:val="32"/>
          <w:szCs w:val="32"/>
          <w:lang w:val="en-US" w:eastAsia="zh-CN"/>
        </w:rPr>
        <w:t>8</w:t>
      </w:r>
      <w:r>
        <w:rPr>
          <w:rFonts w:hint="default" w:eastAsia="仿宋_GB2312"/>
          <w:color w:val="auto"/>
          <w:sz w:val="32"/>
          <w:szCs w:val="32"/>
          <w:lang w:eastAsia="zh-CN"/>
        </w:rPr>
        <w:t>3</w:t>
      </w:r>
      <w:r>
        <w:rPr>
          <w:rFonts w:hint="default" w:eastAsia="仿宋_GB2312"/>
          <w:color w:val="auto"/>
          <w:sz w:val="32"/>
          <w:szCs w:val="32"/>
          <w:lang w:val="en-US" w:eastAsia="zh-CN"/>
        </w:rPr>
        <w:t>%以上</w:t>
      </w:r>
      <w:r>
        <w:rPr>
          <w:rFonts w:hint="default" w:eastAsia="仿宋_GB2312"/>
          <w:color w:val="auto"/>
          <w:sz w:val="32"/>
          <w:szCs w:val="32"/>
          <w:lang w:eastAsia="zh-CN"/>
        </w:rPr>
        <w:t>。</w:t>
      </w:r>
    </w:p>
    <w:p w14:paraId="73E486DD">
      <w:pPr>
        <w:spacing w:line="560" w:lineRule="exact"/>
        <w:ind w:firstLine="643" w:firstLineChars="200"/>
        <w:outlineLvl w:val="0"/>
        <w:rPr>
          <w:rFonts w:eastAsia="楷体_GB2312"/>
          <w:b/>
          <w:bCs/>
          <w:color w:val="auto"/>
          <w:sz w:val="32"/>
          <w:szCs w:val="32"/>
        </w:rPr>
      </w:pPr>
      <w:r>
        <w:rPr>
          <w:rFonts w:eastAsia="楷体_GB2312"/>
          <w:b/>
          <w:bCs/>
          <w:color w:val="auto"/>
          <w:sz w:val="32"/>
          <w:szCs w:val="32"/>
        </w:rPr>
        <w:t>（三）绩效指标完成情况分析</w:t>
      </w:r>
    </w:p>
    <w:p w14:paraId="1C61313D">
      <w:pPr>
        <w:spacing w:line="560" w:lineRule="exact"/>
        <w:ind w:firstLine="640" w:firstLineChars="200"/>
        <w:rPr>
          <w:rFonts w:eastAsia="仿宋_GB2312"/>
          <w:color w:val="auto"/>
          <w:sz w:val="32"/>
          <w:szCs w:val="32"/>
        </w:rPr>
      </w:pPr>
      <w:r>
        <w:rPr>
          <w:rFonts w:eastAsia="仿宋_GB2312"/>
          <w:color w:val="auto"/>
          <w:sz w:val="32"/>
          <w:szCs w:val="32"/>
        </w:rPr>
        <w:t>全年共分解下达绩效指标</w:t>
      </w:r>
      <w:r>
        <w:rPr>
          <w:rFonts w:hint="eastAsia" w:eastAsia="仿宋_GB2312"/>
          <w:color w:val="auto"/>
          <w:sz w:val="32"/>
          <w:szCs w:val="32"/>
          <w:lang w:val="en-US" w:eastAsia="zh-CN"/>
        </w:rPr>
        <w:t>22</w:t>
      </w:r>
      <w:r>
        <w:rPr>
          <w:rFonts w:eastAsia="仿宋_GB2312"/>
          <w:color w:val="auto"/>
          <w:sz w:val="32"/>
          <w:szCs w:val="32"/>
        </w:rPr>
        <w:t>个，</w:t>
      </w:r>
      <w:r>
        <w:rPr>
          <w:rFonts w:hint="eastAsia" w:eastAsia="仿宋_GB2312"/>
          <w:color w:val="auto"/>
          <w:sz w:val="32"/>
          <w:szCs w:val="32"/>
        </w:rPr>
        <w:t>已完成</w:t>
      </w:r>
      <w:r>
        <w:rPr>
          <w:rFonts w:hint="eastAsia" w:eastAsia="仿宋_GB2312"/>
          <w:color w:val="auto"/>
          <w:sz w:val="32"/>
          <w:szCs w:val="32"/>
          <w:lang w:val="en-US" w:eastAsia="zh-CN"/>
        </w:rPr>
        <w:t>21</w:t>
      </w:r>
      <w:r>
        <w:rPr>
          <w:rFonts w:hint="eastAsia" w:eastAsia="仿宋_GB2312"/>
          <w:color w:val="auto"/>
          <w:sz w:val="32"/>
          <w:szCs w:val="32"/>
        </w:rPr>
        <w:t>个</w:t>
      </w:r>
      <w:r>
        <w:rPr>
          <w:rFonts w:eastAsia="仿宋_GB2312"/>
          <w:color w:val="auto"/>
          <w:sz w:val="32"/>
          <w:szCs w:val="32"/>
        </w:rPr>
        <w:t>，</w:t>
      </w:r>
      <w:r>
        <w:rPr>
          <w:rFonts w:hint="eastAsia" w:eastAsia="仿宋_GB2312"/>
          <w:color w:val="auto"/>
          <w:sz w:val="32"/>
          <w:szCs w:val="32"/>
          <w:lang w:eastAsia="zh-CN"/>
        </w:rPr>
        <w:t>未完成</w:t>
      </w:r>
      <w:r>
        <w:rPr>
          <w:rFonts w:hint="eastAsia" w:eastAsia="仿宋_GB2312"/>
          <w:color w:val="auto"/>
          <w:sz w:val="32"/>
          <w:szCs w:val="32"/>
          <w:lang w:val="en-US" w:eastAsia="zh-CN"/>
        </w:rPr>
        <w:t>1个</w:t>
      </w:r>
      <w:r>
        <w:rPr>
          <w:rFonts w:eastAsia="仿宋_GB2312"/>
          <w:color w:val="auto"/>
          <w:sz w:val="32"/>
          <w:szCs w:val="32"/>
        </w:rPr>
        <w:t>。</w:t>
      </w:r>
    </w:p>
    <w:p w14:paraId="7B77E5D2">
      <w:pPr>
        <w:spacing w:line="560" w:lineRule="exact"/>
        <w:ind w:firstLine="640" w:firstLineChars="200"/>
        <w:rPr>
          <w:rFonts w:eastAsia="仿宋_GB2312"/>
          <w:color w:val="auto"/>
          <w:sz w:val="32"/>
          <w:szCs w:val="32"/>
        </w:rPr>
      </w:pPr>
      <w:r>
        <w:rPr>
          <w:rFonts w:eastAsia="仿宋_GB2312"/>
          <w:color w:val="auto"/>
          <w:sz w:val="32"/>
          <w:szCs w:val="32"/>
        </w:rPr>
        <w:t>1.产出指标</w:t>
      </w:r>
      <w:r>
        <w:rPr>
          <w:rFonts w:hint="eastAsia" w:eastAsia="仿宋_GB2312"/>
          <w:color w:val="auto"/>
          <w:sz w:val="32"/>
          <w:szCs w:val="32"/>
          <w:lang w:val="en-US" w:eastAsia="zh-CN"/>
        </w:rPr>
        <w:t>14</w:t>
      </w:r>
      <w:r>
        <w:rPr>
          <w:rFonts w:eastAsia="仿宋_GB2312"/>
          <w:color w:val="auto"/>
          <w:sz w:val="32"/>
          <w:szCs w:val="32"/>
        </w:rPr>
        <w:t>个</w:t>
      </w:r>
      <w:r>
        <w:rPr>
          <w:rFonts w:hint="eastAsia" w:eastAsia="仿宋_GB2312"/>
          <w:color w:val="auto"/>
          <w:sz w:val="32"/>
          <w:szCs w:val="32"/>
        </w:rPr>
        <w:t>，</w:t>
      </w:r>
      <w:r>
        <w:rPr>
          <w:rFonts w:hint="eastAsia" w:eastAsia="仿宋_GB2312"/>
          <w:color w:val="auto"/>
          <w:sz w:val="32"/>
          <w:szCs w:val="32"/>
          <w:lang w:eastAsia="zh-CN"/>
        </w:rPr>
        <w:t>全部完成</w:t>
      </w:r>
      <w:r>
        <w:rPr>
          <w:rFonts w:eastAsia="仿宋_GB2312"/>
          <w:color w:val="auto"/>
          <w:sz w:val="32"/>
          <w:szCs w:val="32"/>
        </w:rPr>
        <w:t>。</w:t>
      </w:r>
    </w:p>
    <w:p w14:paraId="6492649B">
      <w:pPr>
        <w:spacing w:line="560" w:lineRule="exact"/>
        <w:ind w:firstLine="640" w:firstLineChars="200"/>
        <w:rPr>
          <w:rFonts w:eastAsia="仿宋_GB2312"/>
          <w:color w:val="auto"/>
          <w:sz w:val="32"/>
          <w:szCs w:val="32"/>
        </w:rPr>
      </w:pPr>
      <w:r>
        <w:rPr>
          <w:rFonts w:eastAsia="仿宋_GB2312"/>
          <w:color w:val="auto"/>
          <w:sz w:val="32"/>
          <w:szCs w:val="32"/>
        </w:rPr>
        <w:t>一是数量指标</w:t>
      </w:r>
      <w:r>
        <w:rPr>
          <w:rFonts w:hint="eastAsia" w:eastAsia="仿宋_GB2312"/>
          <w:color w:val="auto"/>
          <w:sz w:val="32"/>
          <w:szCs w:val="32"/>
          <w:lang w:val="en-US" w:eastAsia="zh-CN"/>
        </w:rPr>
        <w:t>8</w:t>
      </w:r>
      <w:r>
        <w:rPr>
          <w:rFonts w:eastAsia="仿宋_GB2312"/>
          <w:color w:val="auto"/>
          <w:sz w:val="32"/>
          <w:szCs w:val="32"/>
        </w:rPr>
        <w:t>个</w:t>
      </w:r>
      <w:r>
        <w:rPr>
          <w:rFonts w:hint="eastAsia" w:eastAsia="仿宋_GB2312"/>
          <w:color w:val="auto"/>
          <w:sz w:val="32"/>
          <w:szCs w:val="32"/>
        </w:rPr>
        <w:t>，</w:t>
      </w:r>
      <w:r>
        <w:rPr>
          <w:rFonts w:hint="eastAsia" w:eastAsia="仿宋_GB2312"/>
          <w:color w:val="auto"/>
          <w:sz w:val="32"/>
          <w:szCs w:val="32"/>
          <w:lang w:eastAsia="zh-CN"/>
        </w:rPr>
        <w:t>全部完成</w:t>
      </w:r>
      <w:r>
        <w:rPr>
          <w:rFonts w:hint="eastAsia" w:eastAsia="仿宋_GB2312"/>
          <w:color w:val="auto"/>
          <w:sz w:val="32"/>
          <w:szCs w:val="32"/>
        </w:rPr>
        <w:t>。测土配方施肥面积621.64万亩次；建设秸秆综合利用重点县4个；农户施肥调查数量</w:t>
      </w:r>
      <w:r>
        <w:rPr>
          <w:rFonts w:hint="eastAsia" w:eastAsia="仿宋_GB2312"/>
          <w:color w:val="auto"/>
          <w:sz w:val="32"/>
          <w:szCs w:val="32"/>
        </w:rPr>
        <w:tab/>
      </w:r>
      <w:r>
        <w:rPr>
          <w:rFonts w:hint="eastAsia" w:eastAsia="仿宋_GB2312"/>
          <w:color w:val="auto"/>
          <w:sz w:val="32"/>
          <w:szCs w:val="32"/>
        </w:rPr>
        <w:t>2000户；田间试验数量6</w:t>
      </w:r>
      <w:r>
        <w:rPr>
          <w:rFonts w:eastAsia="仿宋_GB2312"/>
          <w:color w:val="auto"/>
          <w:sz w:val="32"/>
          <w:szCs w:val="32"/>
        </w:rPr>
        <w:t>0</w:t>
      </w:r>
      <w:r>
        <w:rPr>
          <w:rFonts w:hint="eastAsia" w:eastAsia="仿宋_GB2312"/>
          <w:color w:val="auto"/>
          <w:sz w:val="32"/>
          <w:szCs w:val="32"/>
        </w:rPr>
        <w:t>个；渔业增殖放流67433.94万单位；耕地深松整地作业面积3</w:t>
      </w:r>
      <w:r>
        <w:rPr>
          <w:rFonts w:eastAsia="仿宋_GB2312"/>
          <w:color w:val="auto"/>
          <w:sz w:val="32"/>
          <w:szCs w:val="32"/>
        </w:rPr>
        <w:t>0</w:t>
      </w:r>
      <w:r>
        <w:rPr>
          <w:rFonts w:hint="eastAsia" w:eastAsia="仿宋_GB2312"/>
          <w:color w:val="auto"/>
          <w:sz w:val="32"/>
          <w:szCs w:val="32"/>
        </w:rPr>
        <w:t>万亩；土壤普查试点县数量</w:t>
      </w:r>
      <w:r>
        <w:rPr>
          <w:rFonts w:hint="eastAsia" w:eastAsia="仿宋_GB2312"/>
          <w:color w:val="auto"/>
          <w:sz w:val="32"/>
          <w:szCs w:val="32"/>
          <w:lang w:val="en-US" w:eastAsia="zh-CN"/>
        </w:rPr>
        <w:t>1</w:t>
      </w:r>
      <w:r>
        <w:rPr>
          <w:rFonts w:hint="eastAsia" w:eastAsia="仿宋_GB2312"/>
          <w:color w:val="auto"/>
          <w:sz w:val="32"/>
          <w:szCs w:val="32"/>
        </w:rPr>
        <w:t>个）</w:t>
      </w:r>
      <w:r>
        <w:rPr>
          <w:rFonts w:hint="eastAsia" w:eastAsia="仿宋_GB2312"/>
          <w:color w:val="auto"/>
          <w:sz w:val="32"/>
          <w:szCs w:val="32"/>
          <w:lang w:eastAsia="zh-CN"/>
        </w:rPr>
        <w:t>；</w:t>
      </w:r>
      <w:r>
        <w:rPr>
          <w:rFonts w:hint="eastAsia" w:eastAsia="仿宋_GB2312"/>
          <w:color w:val="auto"/>
          <w:sz w:val="32"/>
          <w:szCs w:val="32"/>
        </w:rPr>
        <w:t>完成“三新”技术升级版示范区建设15.566万亩；</w:t>
      </w:r>
      <w:r>
        <w:rPr>
          <w:rFonts w:eastAsia="仿宋_GB2312"/>
          <w:color w:val="auto"/>
          <w:sz w:val="32"/>
          <w:szCs w:val="32"/>
        </w:rPr>
        <w:t>完成化肥减量增效示范</w:t>
      </w:r>
      <w:r>
        <w:rPr>
          <w:rFonts w:hint="eastAsia" w:eastAsia="仿宋_GB2312"/>
          <w:color w:val="auto"/>
          <w:sz w:val="32"/>
          <w:szCs w:val="32"/>
        </w:rPr>
        <w:t>区</w:t>
      </w:r>
      <w:r>
        <w:rPr>
          <w:rFonts w:eastAsia="仿宋_GB2312"/>
          <w:color w:val="auto"/>
          <w:sz w:val="32"/>
          <w:szCs w:val="32"/>
        </w:rPr>
        <w:t>建设数量2个</w:t>
      </w:r>
      <w:r>
        <w:rPr>
          <w:rFonts w:hint="eastAsia" w:eastAsia="仿宋_GB2312"/>
          <w:color w:val="auto"/>
          <w:sz w:val="32"/>
          <w:szCs w:val="32"/>
        </w:rPr>
        <w:t>；</w:t>
      </w:r>
      <w:r>
        <w:rPr>
          <w:rFonts w:eastAsia="仿宋_GB2312"/>
          <w:color w:val="auto"/>
          <w:sz w:val="32"/>
          <w:szCs w:val="32"/>
        </w:rPr>
        <w:t xml:space="preserve"> </w:t>
      </w:r>
    </w:p>
    <w:p w14:paraId="088874B2">
      <w:pPr>
        <w:spacing w:line="560" w:lineRule="exact"/>
        <w:ind w:firstLine="640" w:firstLineChars="200"/>
        <w:rPr>
          <w:rFonts w:eastAsia="仿宋_GB2312"/>
          <w:color w:val="auto"/>
          <w:sz w:val="32"/>
          <w:szCs w:val="32"/>
        </w:rPr>
      </w:pPr>
      <w:r>
        <w:rPr>
          <w:rFonts w:eastAsia="仿宋_GB2312"/>
          <w:color w:val="auto"/>
          <w:sz w:val="32"/>
          <w:szCs w:val="32"/>
        </w:rPr>
        <w:t>二是质量指标</w:t>
      </w:r>
      <w:r>
        <w:rPr>
          <w:rFonts w:hint="eastAsia" w:eastAsia="仿宋_GB2312"/>
          <w:color w:val="auto"/>
          <w:sz w:val="32"/>
          <w:szCs w:val="32"/>
          <w:lang w:val="en-US" w:eastAsia="zh-CN"/>
        </w:rPr>
        <w:t>4</w:t>
      </w:r>
      <w:r>
        <w:rPr>
          <w:rFonts w:eastAsia="仿宋_GB2312"/>
          <w:color w:val="auto"/>
          <w:sz w:val="32"/>
          <w:szCs w:val="32"/>
        </w:rPr>
        <w:t>个，</w:t>
      </w:r>
      <w:r>
        <w:rPr>
          <w:rFonts w:hint="eastAsia" w:eastAsia="仿宋_GB2312"/>
          <w:color w:val="auto"/>
          <w:sz w:val="32"/>
          <w:szCs w:val="32"/>
          <w:lang w:eastAsia="zh-CN"/>
        </w:rPr>
        <w:t>全部完成</w:t>
      </w:r>
      <w:r>
        <w:rPr>
          <w:rFonts w:eastAsia="仿宋_GB2312"/>
          <w:color w:val="auto"/>
          <w:sz w:val="32"/>
          <w:szCs w:val="32"/>
        </w:rPr>
        <w:t>。</w:t>
      </w:r>
      <w:r>
        <w:rPr>
          <w:rFonts w:hint="eastAsia" w:eastAsia="仿宋_GB2312"/>
          <w:color w:val="auto"/>
          <w:sz w:val="32"/>
          <w:szCs w:val="32"/>
        </w:rPr>
        <w:t>秸秆综合利用重点县秸秆综合利用率达到9</w:t>
      </w:r>
      <w:r>
        <w:rPr>
          <w:rFonts w:eastAsia="仿宋_GB2312"/>
          <w:color w:val="auto"/>
          <w:sz w:val="32"/>
          <w:szCs w:val="32"/>
        </w:rPr>
        <w:t>8%</w:t>
      </w:r>
      <w:r>
        <w:rPr>
          <w:rFonts w:hint="eastAsia" w:eastAsia="仿宋_GB2312"/>
          <w:color w:val="auto"/>
          <w:sz w:val="32"/>
          <w:szCs w:val="32"/>
        </w:rPr>
        <w:t>；盐碱地普查采样调查完成率</w:t>
      </w:r>
      <w:r>
        <w:rPr>
          <w:rFonts w:hint="eastAsia" w:eastAsia="仿宋_GB2312"/>
          <w:color w:val="auto"/>
          <w:sz w:val="32"/>
          <w:szCs w:val="32"/>
          <w:lang w:eastAsia="zh-CN"/>
        </w:rPr>
        <w:t>达到</w:t>
      </w:r>
      <w:r>
        <w:rPr>
          <w:rFonts w:hint="eastAsia" w:eastAsia="仿宋_GB2312"/>
          <w:color w:val="auto"/>
          <w:sz w:val="32"/>
          <w:szCs w:val="32"/>
          <w:lang w:val="en-US" w:eastAsia="zh-CN"/>
        </w:rPr>
        <w:t>98%；</w:t>
      </w:r>
      <w:r>
        <w:rPr>
          <w:rFonts w:hint="eastAsia" w:eastAsia="仿宋_GB2312"/>
          <w:color w:val="auto"/>
          <w:sz w:val="32"/>
          <w:szCs w:val="32"/>
        </w:rPr>
        <w:t>2022年测土配方施肥技术覆盖率达93.49%。种田大户的肥料使用量明显减少，肥料利用率得到提高，通过科学施肥使农作物生产达到既能满足作物高产优质生产的养分需要，又能保持和恢复土壤肥力，减少因不合理施肥所造成的土壤面源污染，保护了耕地土壤生态环境，农业经济与资源环境得到了协调同步发展，促进了农业可持续发展</w:t>
      </w:r>
      <w:r>
        <w:rPr>
          <w:rFonts w:hint="eastAsia" w:eastAsia="仿宋_GB2312"/>
          <w:color w:val="auto"/>
          <w:sz w:val="32"/>
          <w:szCs w:val="32"/>
          <w:lang w:eastAsia="zh-CN"/>
        </w:rPr>
        <w:t>；</w:t>
      </w:r>
      <w:r>
        <w:rPr>
          <w:rFonts w:hint="eastAsia" w:eastAsia="仿宋_GB2312"/>
          <w:color w:val="auto"/>
          <w:sz w:val="32"/>
          <w:szCs w:val="32"/>
        </w:rPr>
        <w:t>未发现资金违规使用情况。</w:t>
      </w:r>
    </w:p>
    <w:p w14:paraId="599E84C8">
      <w:pPr>
        <w:spacing w:line="560" w:lineRule="exact"/>
        <w:ind w:firstLine="640" w:firstLineChars="200"/>
        <w:rPr>
          <w:rFonts w:eastAsia="仿宋_GB2312"/>
          <w:color w:val="auto"/>
          <w:sz w:val="32"/>
          <w:szCs w:val="32"/>
        </w:rPr>
      </w:pPr>
      <w:r>
        <w:rPr>
          <w:rFonts w:hint="eastAsia" w:eastAsia="仿宋_GB2312"/>
          <w:color w:val="auto"/>
          <w:sz w:val="32"/>
          <w:szCs w:val="32"/>
        </w:rPr>
        <w:t>三是时效指标2个，已完成</w:t>
      </w:r>
      <w:r>
        <w:rPr>
          <w:rFonts w:hint="eastAsia" w:eastAsia="仿宋_GB2312"/>
          <w:color w:val="auto"/>
          <w:sz w:val="32"/>
          <w:szCs w:val="32"/>
          <w:lang w:val="en-US" w:eastAsia="zh-CN"/>
        </w:rPr>
        <w:t>1</w:t>
      </w:r>
      <w:r>
        <w:rPr>
          <w:rFonts w:hint="eastAsia" w:eastAsia="仿宋_GB2312"/>
          <w:color w:val="auto"/>
          <w:sz w:val="32"/>
          <w:szCs w:val="32"/>
        </w:rPr>
        <w:t>个，未完成</w:t>
      </w:r>
      <w:r>
        <w:rPr>
          <w:rFonts w:hint="eastAsia" w:eastAsia="仿宋_GB2312"/>
          <w:color w:val="auto"/>
          <w:sz w:val="32"/>
          <w:szCs w:val="32"/>
          <w:lang w:val="en-US" w:eastAsia="zh-CN"/>
        </w:rPr>
        <w:t>1</w:t>
      </w:r>
      <w:r>
        <w:rPr>
          <w:rFonts w:hint="eastAsia" w:eastAsia="仿宋_GB2312"/>
          <w:color w:val="auto"/>
          <w:sz w:val="32"/>
          <w:szCs w:val="32"/>
        </w:rPr>
        <w:t>个。</w:t>
      </w:r>
    </w:p>
    <w:p w14:paraId="1B1B04D3">
      <w:pPr>
        <w:spacing w:line="560" w:lineRule="exact"/>
        <w:ind w:firstLine="640" w:firstLineChars="200"/>
        <w:rPr>
          <w:rFonts w:eastAsia="仿宋_GB2312"/>
          <w:color w:val="auto"/>
          <w:sz w:val="32"/>
          <w:szCs w:val="32"/>
        </w:rPr>
      </w:pPr>
      <w:r>
        <w:rPr>
          <w:rFonts w:hint="eastAsia" w:eastAsia="仿宋_GB2312"/>
          <w:color w:val="auto"/>
          <w:sz w:val="32"/>
          <w:szCs w:val="32"/>
          <w:lang w:eastAsia="zh-CN"/>
        </w:rPr>
        <w:t>截至</w:t>
      </w:r>
      <w:r>
        <w:rPr>
          <w:rFonts w:hint="eastAsia" w:eastAsia="仿宋_GB2312"/>
          <w:color w:val="auto"/>
          <w:sz w:val="32"/>
          <w:szCs w:val="32"/>
          <w:lang w:val="en-US" w:eastAsia="zh-CN"/>
        </w:rPr>
        <w:t>2022年底，</w:t>
      </w:r>
      <w:r>
        <w:rPr>
          <w:rFonts w:hint="eastAsia" w:eastAsia="仿宋_GB2312"/>
          <w:color w:val="auto"/>
          <w:sz w:val="32"/>
          <w:szCs w:val="32"/>
          <w:lang w:eastAsia="zh-CN"/>
        </w:rPr>
        <w:t>尚有</w:t>
      </w:r>
      <w:r>
        <w:rPr>
          <w:rFonts w:hint="eastAsia" w:eastAsia="仿宋_GB2312"/>
          <w:color w:val="auto"/>
          <w:sz w:val="32"/>
          <w:szCs w:val="32"/>
          <w:lang w:val="en-US" w:eastAsia="zh-CN"/>
        </w:rPr>
        <w:t>6个区未完成农膜收回补贴资金兑付工作；</w:t>
      </w:r>
      <w:r>
        <w:rPr>
          <w:rFonts w:hint="eastAsia" w:eastAsia="仿宋_GB2312"/>
          <w:color w:val="auto"/>
          <w:sz w:val="32"/>
          <w:szCs w:val="32"/>
        </w:rPr>
        <w:t>耕地深松整地在2</w:t>
      </w:r>
      <w:r>
        <w:rPr>
          <w:rFonts w:eastAsia="仿宋_GB2312"/>
          <w:color w:val="auto"/>
          <w:sz w:val="32"/>
          <w:szCs w:val="32"/>
        </w:rPr>
        <w:t>022</w:t>
      </w:r>
      <w:r>
        <w:rPr>
          <w:rFonts w:hint="eastAsia" w:eastAsia="仿宋_GB2312"/>
          <w:color w:val="auto"/>
          <w:sz w:val="32"/>
          <w:szCs w:val="32"/>
        </w:rPr>
        <w:t>年底前全部完成；</w:t>
      </w:r>
    </w:p>
    <w:p w14:paraId="3EE14210">
      <w:pPr>
        <w:spacing w:line="560" w:lineRule="exact"/>
        <w:ind w:firstLine="640" w:firstLineChars="200"/>
        <w:rPr>
          <w:rFonts w:eastAsia="仿宋_GB2312"/>
          <w:color w:val="auto"/>
          <w:sz w:val="32"/>
          <w:szCs w:val="32"/>
        </w:rPr>
      </w:pPr>
      <w:r>
        <w:rPr>
          <w:rFonts w:eastAsia="仿宋_GB2312"/>
          <w:color w:val="auto"/>
          <w:sz w:val="32"/>
          <w:szCs w:val="32"/>
        </w:rPr>
        <w:t>2.效益指标</w:t>
      </w:r>
      <w:r>
        <w:rPr>
          <w:rFonts w:hint="eastAsia" w:eastAsia="仿宋_GB2312"/>
          <w:color w:val="auto"/>
          <w:sz w:val="32"/>
          <w:szCs w:val="32"/>
          <w:lang w:val="en-US" w:eastAsia="zh-CN"/>
        </w:rPr>
        <w:t>4</w:t>
      </w:r>
      <w:r>
        <w:rPr>
          <w:rFonts w:eastAsia="仿宋_GB2312"/>
          <w:color w:val="auto"/>
          <w:sz w:val="32"/>
          <w:szCs w:val="32"/>
        </w:rPr>
        <w:t>个，</w:t>
      </w:r>
      <w:r>
        <w:rPr>
          <w:rFonts w:hint="eastAsia" w:eastAsia="仿宋_GB2312"/>
          <w:color w:val="auto"/>
          <w:sz w:val="32"/>
          <w:szCs w:val="32"/>
          <w:lang w:eastAsia="zh-CN"/>
        </w:rPr>
        <w:t>全部完成</w:t>
      </w:r>
      <w:r>
        <w:rPr>
          <w:rFonts w:eastAsia="仿宋_GB2312"/>
          <w:color w:val="auto"/>
          <w:sz w:val="32"/>
          <w:szCs w:val="32"/>
        </w:rPr>
        <w:t>。</w:t>
      </w:r>
    </w:p>
    <w:p w14:paraId="2FF4ED3D">
      <w:pPr>
        <w:spacing w:line="560" w:lineRule="exact"/>
        <w:ind w:firstLine="640" w:firstLineChars="200"/>
        <w:rPr>
          <w:rFonts w:hint="eastAsia" w:eastAsia="仿宋_GB2312"/>
          <w:color w:val="auto"/>
          <w:sz w:val="32"/>
          <w:szCs w:val="32"/>
          <w:lang w:eastAsia="zh-CN"/>
        </w:rPr>
      </w:pPr>
      <w:r>
        <w:rPr>
          <w:rFonts w:eastAsia="仿宋_GB2312"/>
          <w:color w:val="auto"/>
          <w:sz w:val="32"/>
          <w:szCs w:val="32"/>
        </w:rPr>
        <w:t>一是社会效益指标2个</w:t>
      </w:r>
      <w:r>
        <w:rPr>
          <w:rFonts w:hint="eastAsia" w:eastAsia="仿宋_GB2312"/>
          <w:color w:val="auto"/>
          <w:sz w:val="32"/>
          <w:szCs w:val="32"/>
        </w:rPr>
        <w:t>。</w:t>
      </w:r>
      <w:r>
        <w:rPr>
          <w:rFonts w:hint="eastAsia" w:eastAsia="仿宋_GB2312"/>
          <w:color w:val="auto"/>
          <w:sz w:val="32"/>
          <w:szCs w:val="32"/>
          <w:lang w:eastAsia="zh-CN"/>
        </w:rPr>
        <w:t>全部完成</w:t>
      </w:r>
      <w:r>
        <w:rPr>
          <w:rFonts w:eastAsia="仿宋_GB2312"/>
          <w:color w:val="auto"/>
          <w:sz w:val="32"/>
          <w:szCs w:val="32"/>
        </w:rPr>
        <w:t>。</w:t>
      </w:r>
      <w:r>
        <w:rPr>
          <w:rFonts w:hint="eastAsia" w:eastAsia="仿宋_GB2312"/>
          <w:color w:val="auto"/>
          <w:sz w:val="32"/>
          <w:szCs w:val="32"/>
        </w:rPr>
        <w:t>初步建立起秸秆综合利用长效机制</w:t>
      </w:r>
      <w:r>
        <w:rPr>
          <w:rFonts w:hint="eastAsia" w:eastAsia="仿宋_GB2312"/>
          <w:color w:val="auto"/>
          <w:sz w:val="32"/>
          <w:szCs w:val="32"/>
          <w:lang w:eastAsia="zh-CN"/>
        </w:rPr>
        <w:t>；</w:t>
      </w:r>
      <w:r>
        <w:rPr>
          <w:rFonts w:hint="eastAsia" w:eastAsia="仿宋_GB2312"/>
          <w:color w:val="auto"/>
          <w:sz w:val="32"/>
          <w:szCs w:val="32"/>
        </w:rPr>
        <w:t>农业生产经营主体主动履行农膜回收意识</w:t>
      </w:r>
      <w:r>
        <w:rPr>
          <w:rFonts w:hint="eastAsia" w:eastAsia="仿宋_GB2312"/>
          <w:color w:val="auto"/>
          <w:sz w:val="32"/>
          <w:szCs w:val="32"/>
          <w:lang w:eastAsia="zh-CN"/>
        </w:rPr>
        <w:t>得到强化。</w:t>
      </w:r>
    </w:p>
    <w:p w14:paraId="1C12C2B7">
      <w:pPr>
        <w:spacing w:line="560" w:lineRule="exact"/>
        <w:ind w:firstLine="640" w:firstLineChars="200"/>
        <w:rPr>
          <w:rFonts w:hint="eastAsia" w:eastAsia="仿宋_GB2312"/>
          <w:color w:val="auto"/>
          <w:sz w:val="32"/>
          <w:szCs w:val="32"/>
          <w:lang w:eastAsia="zh-CN"/>
        </w:rPr>
      </w:pPr>
      <w:r>
        <w:rPr>
          <w:rFonts w:eastAsia="仿宋_GB2312"/>
          <w:color w:val="auto"/>
          <w:sz w:val="32"/>
          <w:szCs w:val="32"/>
        </w:rPr>
        <w:t>二是生态效益指标2个</w:t>
      </w:r>
      <w:r>
        <w:rPr>
          <w:rFonts w:hint="eastAsia" w:eastAsia="仿宋_GB2312"/>
          <w:color w:val="auto"/>
          <w:sz w:val="32"/>
          <w:szCs w:val="32"/>
        </w:rPr>
        <w:t>，</w:t>
      </w:r>
      <w:r>
        <w:rPr>
          <w:rFonts w:hint="eastAsia" w:eastAsia="仿宋_GB2312"/>
          <w:color w:val="auto"/>
          <w:sz w:val="32"/>
          <w:szCs w:val="32"/>
          <w:lang w:eastAsia="zh-CN"/>
        </w:rPr>
        <w:t>全部完成</w:t>
      </w:r>
      <w:r>
        <w:rPr>
          <w:rFonts w:hint="eastAsia" w:eastAsia="仿宋_GB2312"/>
          <w:color w:val="auto"/>
          <w:sz w:val="32"/>
          <w:szCs w:val="32"/>
        </w:rPr>
        <w:t>。重要经济物种放流资源贡献率达到9</w:t>
      </w:r>
      <w:r>
        <w:rPr>
          <w:rFonts w:eastAsia="仿宋_GB2312"/>
          <w:color w:val="auto"/>
          <w:sz w:val="32"/>
          <w:szCs w:val="32"/>
        </w:rPr>
        <w:t>6.8%</w:t>
      </w:r>
      <w:r>
        <w:rPr>
          <w:rFonts w:hint="eastAsia" w:eastAsia="仿宋_GB2312"/>
          <w:color w:val="auto"/>
          <w:sz w:val="32"/>
          <w:szCs w:val="32"/>
        </w:rPr>
        <w:t>；农膜残留污染得到有效防治</w:t>
      </w:r>
      <w:r>
        <w:rPr>
          <w:rFonts w:hint="eastAsia" w:eastAsia="仿宋_GB2312"/>
          <w:color w:val="auto"/>
          <w:sz w:val="32"/>
          <w:szCs w:val="32"/>
          <w:lang w:eastAsia="zh-CN"/>
        </w:rPr>
        <w:t>。</w:t>
      </w:r>
    </w:p>
    <w:p w14:paraId="7D92B55F">
      <w:pPr>
        <w:spacing w:line="560" w:lineRule="exact"/>
        <w:ind w:firstLine="640" w:firstLineChars="200"/>
        <w:rPr>
          <w:rFonts w:hint="eastAsia" w:eastAsia="仿宋_GB2312"/>
          <w:color w:val="auto"/>
          <w:sz w:val="32"/>
          <w:szCs w:val="32"/>
          <w:highlight w:val="yellow"/>
          <w:lang w:val="en-US" w:eastAsia="zh-CN"/>
        </w:rPr>
      </w:pPr>
      <w:r>
        <w:rPr>
          <w:rFonts w:eastAsia="仿宋_GB2312"/>
          <w:color w:val="auto"/>
          <w:sz w:val="32"/>
          <w:szCs w:val="32"/>
        </w:rPr>
        <w:t>3.满意度指标4个，</w:t>
      </w:r>
      <w:r>
        <w:rPr>
          <w:rFonts w:hint="eastAsia" w:eastAsia="仿宋_GB2312"/>
          <w:color w:val="auto"/>
          <w:sz w:val="32"/>
          <w:szCs w:val="32"/>
          <w:lang w:eastAsia="zh-CN"/>
        </w:rPr>
        <w:t>全部完成</w:t>
      </w:r>
      <w:r>
        <w:rPr>
          <w:rFonts w:eastAsia="仿宋_GB2312"/>
          <w:color w:val="auto"/>
          <w:sz w:val="32"/>
          <w:szCs w:val="32"/>
        </w:rPr>
        <w:t>。</w:t>
      </w:r>
      <w:r>
        <w:rPr>
          <w:rFonts w:hint="eastAsia" w:eastAsia="仿宋_GB2312"/>
          <w:color w:val="auto"/>
          <w:sz w:val="32"/>
          <w:szCs w:val="32"/>
        </w:rPr>
        <w:t>增殖放流区域内抽样调查满意度达到1</w:t>
      </w:r>
      <w:r>
        <w:rPr>
          <w:rFonts w:eastAsia="仿宋_GB2312"/>
          <w:color w:val="auto"/>
          <w:sz w:val="32"/>
          <w:szCs w:val="32"/>
        </w:rPr>
        <w:t>00%</w:t>
      </w:r>
      <w:r>
        <w:rPr>
          <w:rFonts w:hint="eastAsia" w:eastAsia="仿宋_GB2312"/>
          <w:color w:val="auto"/>
          <w:sz w:val="32"/>
          <w:szCs w:val="32"/>
        </w:rPr>
        <w:t>；农民对化肥减量增效实施满意度达到</w:t>
      </w:r>
      <w:r>
        <w:rPr>
          <w:rFonts w:eastAsia="仿宋_GB2312"/>
          <w:color w:val="auto"/>
          <w:sz w:val="32"/>
          <w:szCs w:val="32"/>
        </w:rPr>
        <w:t>90%</w:t>
      </w:r>
      <w:r>
        <w:rPr>
          <w:rFonts w:hint="eastAsia" w:eastAsia="仿宋_GB2312"/>
          <w:color w:val="auto"/>
          <w:sz w:val="32"/>
          <w:szCs w:val="32"/>
        </w:rPr>
        <w:t>；秸秆综合利用受益主体满意度达到9</w:t>
      </w:r>
      <w:r>
        <w:rPr>
          <w:rFonts w:eastAsia="仿宋_GB2312"/>
          <w:color w:val="auto"/>
          <w:sz w:val="32"/>
          <w:szCs w:val="32"/>
        </w:rPr>
        <w:t>0%</w:t>
      </w:r>
      <w:r>
        <w:rPr>
          <w:rFonts w:hint="eastAsia" w:eastAsia="仿宋_GB2312"/>
          <w:color w:val="auto"/>
          <w:sz w:val="32"/>
          <w:szCs w:val="32"/>
        </w:rPr>
        <w:t>；农膜回收作业主体对补贴资金兑付情况满意度</w:t>
      </w:r>
      <w:r>
        <w:rPr>
          <w:rFonts w:hint="eastAsia" w:eastAsia="仿宋_GB2312"/>
          <w:color w:val="auto"/>
          <w:sz w:val="32"/>
          <w:szCs w:val="32"/>
          <w:lang w:val="en-US" w:eastAsia="zh-CN"/>
        </w:rPr>
        <w:t>100</w:t>
      </w:r>
      <w:r>
        <w:rPr>
          <w:rFonts w:hint="eastAsia" w:eastAsia="仿宋_GB2312"/>
          <w:color w:val="auto"/>
          <w:sz w:val="32"/>
          <w:szCs w:val="32"/>
        </w:rPr>
        <w:t>%</w:t>
      </w:r>
      <w:r>
        <w:rPr>
          <w:rFonts w:hint="eastAsia" w:eastAsia="仿宋_GB2312"/>
          <w:color w:val="auto"/>
          <w:sz w:val="32"/>
          <w:szCs w:val="32"/>
          <w:lang w:eastAsia="zh-CN"/>
        </w:rPr>
        <w:t>。</w:t>
      </w:r>
    </w:p>
    <w:p w14:paraId="7AAB824F">
      <w:pPr>
        <w:spacing w:line="560" w:lineRule="exact"/>
        <w:ind w:firstLine="600" w:firstLineChars="200"/>
        <w:outlineLvl w:val="0"/>
        <w:rPr>
          <w:rFonts w:eastAsia="仿宋_GB2312"/>
          <w:color w:val="auto"/>
          <w:sz w:val="30"/>
          <w:szCs w:val="32"/>
        </w:rPr>
      </w:pPr>
      <w:r>
        <w:rPr>
          <w:rFonts w:eastAsia="黑体"/>
          <w:bCs/>
          <w:color w:val="auto"/>
          <w:sz w:val="30"/>
          <w:szCs w:val="32"/>
        </w:rPr>
        <w:t>三、偏离绩效目标的原因和下一步改进措施</w:t>
      </w:r>
    </w:p>
    <w:p w14:paraId="64417397">
      <w:pPr>
        <w:spacing w:line="560" w:lineRule="exact"/>
        <w:ind w:firstLine="640" w:firstLineChars="200"/>
        <w:rPr>
          <w:rFonts w:hint="eastAsia" w:eastAsia="仿宋_GB2312"/>
          <w:color w:val="auto"/>
          <w:sz w:val="32"/>
          <w:szCs w:val="32"/>
          <w:lang w:eastAsia="zh-CN"/>
        </w:rPr>
      </w:pPr>
      <w:r>
        <w:rPr>
          <w:rFonts w:hint="eastAsia" w:eastAsia="仿宋_GB2312"/>
          <w:color w:val="auto"/>
          <w:sz w:val="32"/>
          <w:szCs w:val="32"/>
        </w:rPr>
        <w:t>由于区级财政资金紧张，</w:t>
      </w:r>
      <w:r>
        <w:rPr>
          <w:rFonts w:hint="eastAsia" w:eastAsia="仿宋_GB2312"/>
          <w:color w:val="auto"/>
          <w:sz w:val="32"/>
          <w:szCs w:val="32"/>
          <w:lang w:eastAsia="zh-CN"/>
        </w:rPr>
        <w:t>有</w:t>
      </w:r>
      <w:r>
        <w:rPr>
          <w:rFonts w:hint="eastAsia" w:eastAsia="仿宋_GB2312"/>
          <w:color w:val="auto"/>
          <w:sz w:val="32"/>
          <w:szCs w:val="32"/>
          <w:lang w:val="en-US" w:eastAsia="zh-CN"/>
        </w:rPr>
        <w:t>6个区</w:t>
      </w:r>
      <w:r>
        <w:rPr>
          <w:rFonts w:hint="eastAsia" w:eastAsia="仿宋_GB2312"/>
          <w:color w:val="auto"/>
          <w:sz w:val="32"/>
          <w:szCs w:val="32"/>
        </w:rPr>
        <w:t>未能按时完成</w:t>
      </w:r>
      <w:r>
        <w:rPr>
          <w:rFonts w:hint="eastAsia" w:eastAsia="仿宋_GB2312"/>
          <w:color w:val="auto"/>
          <w:sz w:val="32"/>
          <w:szCs w:val="32"/>
          <w:lang w:eastAsia="zh-CN"/>
        </w:rPr>
        <w:t>农膜回收</w:t>
      </w:r>
      <w:r>
        <w:rPr>
          <w:rFonts w:hint="eastAsia" w:eastAsia="仿宋_GB2312"/>
          <w:color w:val="auto"/>
          <w:sz w:val="32"/>
          <w:szCs w:val="32"/>
        </w:rPr>
        <w:t>补贴资金兑付工作，</w:t>
      </w:r>
      <w:r>
        <w:rPr>
          <w:rFonts w:hint="eastAsia" w:eastAsia="仿宋_GB2312"/>
          <w:color w:val="auto"/>
          <w:sz w:val="32"/>
          <w:szCs w:val="32"/>
          <w:lang w:eastAsia="zh-CN"/>
        </w:rPr>
        <w:t>下一步，我们将</w:t>
      </w:r>
      <w:r>
        <w:rPr>
          <w:rFonts w:hint="eastAsia" w:eastAsia="仿宋_GB2312"/>
          <w:color w:val="auto"/>
          <w:sz w:val="32"/>
          <w:szCs w:val="32"/>
        </w:rPr>
        <w:t>督促相关区尽快完成资金兑付工作</w:t>
      </w:r>
      <w:r>
        <w:rPr>
          <w:rFonts w:hint="eastAsia" w:eastAsia="仿宋_GB2312"/>
          <w:color w:val="auto"/>
          <w:sz w:val="32"/>
          <w:szCs w:val="32"/>
          <w:lang w:eastAsia="zh-CN"/>
        </w:rPr>
        <w:t>。</w:t>
      </w:r>
    </w:p>
    <w:p w14:paraId="1FC321D7">
      <w:pPr>
        <w:spacing w:line="560" w:lineRule="exact"/>
        <w:ind w:firstLine="600" w:firstLineChars="200"/>
        <w:rPr>
          <w:rFonts w:eastAsia="黑体"/>
          <w:bCs/>
          <w:color w:val="auto"/>
          <w:sz w:val="30"/>
          <w:szCs w:val="32"/>
        </w:rPr>
      </w:pPr>
      <w:r>
        <w:rPr>
          <w:rFonts w:eastAsia="黑体"/>
          <w:bCs/>
          <w:color w:val="auto"/>
          <w:sz w:val="30"/>
          <w:szCs w:val="32"/>
        </w:rPr>
        <w:t>四、绩效自评结果拟应用和公开情况</w:t>
      </w:r>
    </w:p>
    <w:p w14:paraId="674A86DA">
      <w:pPr>
        <w:spacing w:line="540" w:lineRule="exact"/>
        <w:ind w:firstLine="640" w:firstLineChars="200"/>
        <w:rPr>
          <w:rFonts w:eastAsia="黑体"/>
          <w:bCs/>
          <w:color w:val="auto"/>
          <w:sz w:val="30"/>
          <w:szCs w:val="32"/>
        </w:rPr>
      </w:pPr>
      <w:r>
        <w:rPr>
          <w:rFonts w:eastAsia="仿宋_GB2312"/>
          <w:color w:val="auto"/>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进行应用，向社会公开，自觉接受社会各界监督，从而在强化评价结果导向机制方面发挥更大作用，为改进资金项目管理以及完善相关政策提供重要依据。</w:t>
      </w:r>
    </w:p>
    <w:p w14:paraId="34D6588F">
      <w:pPr>
        <w:spacing w:line="560" w:lineRule="exact"/>
        <w:ind w:firstLine="600" w:firstLineChars="200"/>
        <w:rPr>
          <w:rFonts w:eastAsia="黑体"/>
          <w:bCs/>
          <w:color w:val="auto"/>
          <w:sz w:val="30"/>
          <w:szCs w:val="32"/>
        </w:rPr>
      </w:pPr>
      <w:r>
        <w:rPr>
          <w:rFonts w:eastAsia="黑体"/>
          <w:bCs/>
          <w:color w:val="auto"/>
          <w:sz w:val="30"/>
          <w:szCs w:val="32"/>
        </w:rPr>
        <w:t>五、其他需要说明的问题</w:t>
      </w:r>
    </w:p>
    <w:p w14:paraId="73317318">
      <w:pPr>
        <w:spacing w:line="560" w:lineRule="exact"/>
        <w:ind w:firstLine="640" w:firstLineChars="200"/>
        <w:rPr>
          <w:rFonts w:eastAsia="仿宋_GB2312"/>
          <w:color w:val="auto"/>
          <w:sz w:val="32"/>
          <w:szCs w:val="32"/>
        </w:rPr>
      </w:pPr>
      <w:r>
        <w:rPr>
          <w:rFonts w:eastAsia="仿宋_GB2312"/>
          <w:color w:val="auto"/>
          <w:sz w:val="32"/>
          <w:szCs w:val="32"/>
        </w:rPr>
        <w:t>无。</w:t>
      </w:r>
    </w:p>
    <w:p w14:paraId="15FDEC2D">
      <w:pPr>
        <w:spacing w:line="560" w:lineRule="exact"/>
        <w:rPr>
          <w:rFonts w:eastAsia="黑体"/>
          <w:bCs/>
          <w:color w:val="auto"/>
          <w:sz w:val="30"/>
          <w:szCs w:val="44"/>
        </w:rPr>
      </w:pPr>
    </w:p>
    <w:p w14:paraId="2F76F8CA">
      <w:pPr>
        <w:ind w:firstLine="640"/>
        <w:rPr>
          <w:rFonts w:hint="eastAsia" w:eastAsia="仿宋_GB2312"/>
          <w:color w:val="auto"/>
          <w:sz w:val="32"/>
          <w:szCs w:val="32"/>
        </w:rPr>
      </w:pPr>
      <w:r>
        <w:rPr>
          <w:rFonts w:eastAsia="仿宋_GB2312"/>
          <w:color w:val="auto"/>
          <w:sz w:val="32"/>
          <w:szCs w:val="32"/>
        </w:rPr>
        <w:t>附</w:t>
      </w:r>
      <w:r>
        <w:rPr>
          <w:rFonts w:hint="eastAsia" w:eastAsia="仿宋_GB2312"/>
          <w:color w:val="auto"/>
          <w:sz w:val="32"/>
          <w:szCs w:val="32"/>
          <w:lang w:eastAsia="zh-CN"/>
        </w:rPr>
        <w:t>件</w:t>
      </w:r>
      <w:r>
        <w:rPr>
          <w:rFonts w:eastAsia="仿宋_GB2312"/>
          <w:color w:val="auto"/>
          <w:sz w:val="32"/>
          <w:szCs w:val="32"/>
        </w:rPr>
        <w:t>：</w:t>
      </w:r>
      <w:r>
        <w:rPr>
          <w:rFonts w:hint="eastAsia" w:eastAsia="仿宋_GB2312"/>
          <w:color w:val="auto"/>
          <w:sz w:val="32"/>
          <w:szCs w:val="32"/>
        </w:rPr>
        <w:t>天津市农业资源及生态保护补助资金区域绩效目</w:t>
      </w:r>
    </w:p>
    <w:p w14:paraId="0F9376BE">
      <w:pPr>
        <w:ind w:firstLine="1600" w:firstLineChars="500"/>
        <w:rPr>
          <w:rFonts w:eastAsia="仿宋_GB2312"/>
          <w:color w:val="auto"/>
          <w:sz w:val="32"/>
          <w:szCs w:val="32"/>
        </w:rPr>
      </w:pPr>
      <w:r>
        <w:rPr>
          <w:rFonts w:hint="eastAsia" w:eastAsia="仿宋_GB2312"/>
          <w:color w:val="auto"/>
          <w:sz w:val="32"/>
          <w:szCs w:val="32"/>
        </w:rPr>
        <w:t>标自评表</w:t>
      </w:r>
    </w:p>
    <w:p w14:paraId="6090B3CC">
      <w:pPr>
        <w:rPr>
          <w:rFonts w:eastAsia="黑体"/>
          <w:bCs/>
          <w:sz w:val="30"/>
          <w:szCs w:val="44"/>
        </w:rPr>
      </w:pPr>
    </w:p>
    <w:p w14:paraId="25A84EC9">
      <w:pPr>
        <w:rPr>
          <w:rFonts w:eastAsia="黑体"/>
          <w:bCs/>
          <w:sz w:val="30"/>
          <w:szCs w:val="44"/>
        </w:rPr>
      </w:pPr>
    </w:p>
    <w:p w14:paraId="31054748">
      <w:pPr>
        <w:rPr>
          <w:rFonts w:eastAsia="黑体"/>
          <w:bCs/>
          <w:sz w:val="30"/>
          <w:szCs w:val="44"/>
        </w:rPr>
      </w:pPr>
    </w:p>
    <w:p w14:paraId="6D31D436">
      <w:pPr>
        <w:rPr>
          <w:rFonts w:eastAsia="黑体"/>
          <w:bCs/>
          <w:sz w:val="30"/>
          <w:szCs w:val="44"/>
        </w:rPr>
      </w:pPr>
    </w:p>
    <w:p w14:paraId="45AAD569">
      <w:pPr>
        <w:rPr>
          <w:rFonts w:eastAsia="黑体"/>
          <w:bCs/>
          <w:sz w:val="30"/>
          <w:szCs w:val="44"/>
        </w:rPr>
      </w:pPr>
    </w:p>
    <w:p w14:paraId="1A718BAF">
      <w:pPr>
        <w:rPr>
          <w:rFonts w:eastAsia="黑体"/>
          <w:bCs/>
          <w:sz w:val="30"/>
          <w:szCs w:val="44"/>
        </w:rPr>
      </w:pPr>
    </w:p>
    <w:p w14:paraId="0A73AD9A">
      <w:pPr>
        <w:rPr>
          <w:rFonts w:eastAsia="黑体"/>
          <w:bCs/>
          <w:sz w:val="30"/>
          <w:szCs w:val="44"/>
        </w:rPr>
      </w:pPr>
    </w:p>
    <w:p w14:paraId="631BA167">
      <w:pPr>
        <w:rPr>
          <w:rFonts w:eastAsia="黑体"/>
          <w:bCs/>
          <w:sz w:val="30"/>
          <w:szCs w:val="44"/>
        </w:rPr>
      </w:pPr>
    </w:p>
    <w:p w14:paraId="39DBD3CD">
      <w:pPr>
        <w:rPr>
          <w:rFonts w:eastAsia="黑体"/>
          <w:bCs/>
          <w:sz w:val="30"/>
          <w:szCs w:val="44"/>
        </w:rPr>
      </w:pPr>
    </w:p>
    <w:p w14:paraId="5D883C0F">
      <w:pPr>
        <w:rPr>
          <w:rFonts w:eastAsia="黑体"/>
          <w:bCs/>
          <w:sz w:val="30"/>
          <w:szCs w:val="44"/>
        </w:rPr>
      </w:pPr>
    </w:p>
    <w:p w14:paraId="008AFAA2">
      <w:pPr>
        <w:rPr>
          <w:rFonts w:eastAsia="黑体"/>
          <w:bCs/>
          <w:sz w:val="30"/>
          <w:szCs w:val="44"/>
        </w:rPr>
      </w:pPr>
    </w:p>
    <w:p w14:paraId="120252EA">
      <w:pPr>
        <w:rPr>
          <w:rFonts w:eastAsia="黑体"/>
          <w:bCs/>
          <w:sz w:val="30"/>
          <w:szCs w:val="44"/>
        </w:rPr>
      </w:pPr>
    </w:p>
    <w:p w14:paraId="6024749C">
      <w:pPr>
        <w:rPr>
          <w:rFonts w:eastAsia="黑体"/>
          <w:bCs/>
          <w:sz w:val="30"/>
          <w:szCs w:val="44"/>
        </w:rPr>
      </w:pPr>
    </w:p>
    <w:p w14:paraId="656699DC">
      <w:pPr>
        <w:rPr>
          <w:rFonts w:eastAsia="黑体"/>
          <w:bCs/>
          <w:sz w:val="30"/>
          <w:szCs w:val="44"/>
        </w:rPr>
      </w:pPr>
    </w:p>
    <w:p w14:paraId="71DA5823">
      <w:pPr>
        <w:rPr>
          <w:rFonts w:eastAsia="黑体"/>
          <w:bCs/>
          <w:sz w:val="30"/>
          <w:szCs w:val="44"/>
        </w:rPr>
      </w:pPr>
    </w:p>
    <w:p w14:paraId="74DEE33D">
      <w:pPr>
        <w:rPr>
          <w:rFonts w:eastAsia="黑体"/>
          <w:bCs/>
          <w:sz w:val="30"/>
          <w:szCs w:val="44"/>
        </w:rPr>
      </w:pPr>
    </w:p>
    <w:p w14:paraId="0BBC7C5B">
      <w:pPr>
        <w:rPr>
          <w:rFonts w:eastAsia="黑体"/>
          <w:bCs/>
          <w:sz w:val="30"/>
          <w:szCs w:val="44"/>
        </w:rPr>
      </w:pPr>
    </w:p>
    <w:p w14:paraId="65735B23">
      <w:pPr>
        <w:rPr>
          <w:rFonts w:eastAsia="黑体"/>
          <w:bCs/>
          <w:sz w:val="30"/>
          <w:szCs w:val="44"/>
        </w:rPr>
      </w:pPr>
    </w:p>
    <w:p w14:paraId="418BDDCC">
      <w:pPr>
        <w:rPr>
          <w:rFonts w:eastAsia="黑体"/>
          <w:bCs/>
          <w:sz w:val="30"/>
          <w:szCs w:val="44"/>
        </w:rPr>
      </w:pPr>
    </w:p>
    <w:p w14:paraId="1559CE1A">
      <w:pPr>
        <w:rPr>
          <w:rFonts w:eastAsia="黑体"/>
          <w:bCs/>
          <w:sz w:val="30"/>
          <w:szCs w:val="44"/>
        </w:rPr>
      </w:pPr>
    </w:p>
    <w:p w14:paraId="0D788661">
      <w:pPr>
        <w:rPr>
          <w:rFonts w:eastAsia="黑体"/>
          <w:bCs/>
          <w:sz w:val="30"/>
          <w:szCs w:val="44"/>
        </w:rPr>
      </w:pPr>
      <w:r>
        <w:rPr>
          <w:rFonts w:eastAsia="黑体"/>
          <w:bCs/>
          <w:sz w:val="30"/>
          <w:szCs w:val="44"/>
        </w:rPr>
        <w:t>附件3</w:t>
      </w:r>
    </w:p>
    <w:p w14:paraId="0F742C8E">
      <w:pPr>
        <w:spacing w:line="600" w:lineRule="exact"/>
        <w:jc w:val="center"/>
        <w:rPr>
          <w:rFonts w:eastAsia="方正小标宋简体"/>
          <w:sz w:val="40"/>
          <w:szCs w:val="40"/>
        </w:rPr>
      </w:pPr>
      <w:r>
        <w:rPr>
          <w:rFonts w:eastAsia="方正小标宋简体"/>
          <w:sz w:val="40"/>
          <w:szCs w:val="40"/>
        </w:rPr>
        <w:t>天津市动物防疫等补助经费转移支付</w:t>
      </w:r>
    </w:p>
    <w:p w14:paraId="5BE29A6F">
      <w:pPr>
        <w:spacing w:line="600" w:lineRule="exact"/>
        <w:jc w:val="center"/>
        <w:rPr>
          <w:rFonts w:eastAsia="方正小标宋简体"/>
          <w:sz w:val="40"/>
          <w:szCs w:val="40"/>
        </w:rPr>
      </w:pPr>
      <w:r>
        <w:rPr>
          <w:rFonts w:eastAsia="方正小标宋简体"/>
          <w:sz w:val="40"/>
          <w:szCs w:val="40"/>
        </w:rPr>
        <w:t>20</w:t>
      </w:r>
      <w:r>
        <w:rPr>
          <w:rFonts w:eastAsia="方正小标宋简体"/>
          <w:sz w:val="40"/>
          <w:szCs w:val="40"/>
          <w:lang w:val="en"/>
        </w:rPr>
        <w:t>22</w:t>
      </w:r>
      <w:r>
        <w:rPr>
          <w:rFonts w:eastAsia="方正小标宋简体"/>
          <w:sz w:val="40"/>
          <w:szCs w:val="40"/>
        </w:rPr>
        <w:t>年度绩效自评报告</w:t>
      </w:r>
    </w:p>
    <w:p w14:paraId="4091CC84">
      <w:pPr>
        <w:spacing w:line="400" w:lineRule="exact"/>
        <w:ind w:firstLine="640" w:firstLineChars="200"/>
        <w:rPr>
          <w:rFonts w:eastAsia="仿宋_GB2312"/>
          <w:sz w:val="32"/>
          <w:szCs w:val="32"/>
        </w:rPr>
      </w:pPr>
    </w:p>
    <w:p w14:paraId="507DD4A2">
      <w:pPr>
        <w:spacing w:line="560" w:lineRule="exact"/>
        <w:ind w:firstLine="640" w:firstLineChars="200"/>
        <w:rPr>
          <w:rFonts w:eastAsia="黑体"/>
          <w:sz w:val="32"/>
          <w:szCs w:val="32"/>
        </w:rPr>
      </w:pPr>
      <w:r>
        <w:rPr>
          <w:rFonts w:eastAsia="黑体"/>
          <w:sz w:val="32"/>
          <w:szCs w:val="32"/>
        </w:rPr>
        <w:t>一、绩效目标分解下达情况</w:t>
      </w:r>
    </w:p>
    <w:p w14:paraId="3249498F">
      <w:pPr>
        <w:spacing w:line="560" w:lineRule="exact"/>
        <w:ind w:firstLine="482" w:firstLineChars="150"/>
        <w:rPr>
          <w:rFonts w:eastAsia="仿宋_GB2312"/>
          <w:sz w:val="32"/>
          <w:szCs w:val="32"/>
          <w:highlight w:val="none"/>
        </w:rPr>
      </w:pPr>
      <w:r>
        <w:rPr>
          <w:rFonts w:eastAsia="楷体_GB2312"/>
          <w:b/>
          <w:sz w:val="32"/>
          <w:szCs w:val="32"/>
        </w:rPr>
        <w:t>（一）中央下达预算和绩效目标情况。</w:t>
      </w:r>
      <w:r>
        <w:rPr>
          <w:rFonts w:eastAsia="仿宋_GB2312"/>
          <w:sz w:val="32"/>
          <w:szCs w:val="32"/>
          <w:highlight w:val="none"/>
        </w:rPr>
        <w:t>202</w:t>
      </w:r>
      <w:r>
        <w:rPr>
          <w:rFonts w:hint="eastAsia" w:eastAsia="仿宋_GB2312"/>
          <w:sz w:val="32"/>
          <w:szCs w:val="32"/>
          <w:highlight w:val="none"/>
        </w:rPr>
        <w:t>2</w:t>
      </w:r>
      <w:r>
        <w:rPr>
          <w:rFonts w:eastAsia="仿宋_GB2312"/>
          <w:sz w:val="32"/>
          <w:szCs w:val="32"/>
          <w:highlight w:val="none"/>
        </w:rPr>
        <w:t>年，中央下达我市动物防疫等补助经费转移支付预算</w:t>
      </w:r>
      <w:r>
        <w:rPr>
          <w:rFonts w:eastAsia="仿宋_GB2312"/>
          <w:sz w:val="32"/>
          <w:szCs w:val="32"/>
          <w:highlight w:val="none"/>
          <w:lang w:val="en"/>
        </w:rPr>
        <w:t>2099</w:t>
      </w:r>
      <w:r>
        <w:rPr>
          <w:rFonts w:eastAsia="仿宋_GB2312"/>
          <w:sz w:val="32"/>
          <w:szCs w:val="32"/>
          <w:highlight w:val="none"/>
        </w:rPr>
        <w:t>万元，下达区域绩效目标为：“开展强制免疫、强制扑杀和养殖环节病死猪无害化处理”。</w:t>
      </w:r>
    </w:p>
    <w:p w14:paraId="6FDCD851">
      <w:pPr>
        <w:spacing w:line="560" w:lineRule="exact"/>
        <w:ind w:firstLine="643" w:firstLineChars="200"/>
        <w:rPr>
          <w:rFonts w:eastAsia="仿宋_GB2312"/>
          <w:sz w:val="32"/>
          <w:szCs w:val="32"/>
        </w:rPr>
      </w:pPr>
      <w:r>
        <w:rPr>
          <w:rFonts w:eastAsia="楷体_GB2312"/>
          <w:b/>
          <w:sz w:val="32"/>
          <w:szCs w:val="32"/>
        </w:rPr>
        <w:t>（二）我市分解下达预算和绩效目标情况。</w:t>
      </w:r>
      <w:r>
        <w:rPr>
          <w:rFonts w:eastAsia="仿宋_GB2312"/>
          <w:sz w:val="32"/>
        </w:rPr>
        <w:t>按照《财政部关于提前下达2022年农业相关转移支付资金预算的通知》</w:t>
      </w:r>
      <w:r>
        <w:rPr>
          <w:rFonts w:eastAsia="仿宋_GB2312"/>
          <w:sz w:val="32"/>
          <w:szCs w:val="32"/>
        </w:rPr>
        <w:t>（财农〔2021〕</w:t>
      </w:r>
      <w:r>
        <w:rPr>
          <w:rFonts w:hint="eastAsia" w:eastAsia="仿宋_GB2312"/>
          <w:sz w:val="32"/>
          <w:szCs w:val="32"/>
        </w:rPr>
        <w:t>1</w:t>
      </w:r>
      <w:r>
        <w:rPr>
          <w:rFonts w:eastAsia="仿宋_GB2312"/>
          <w:sz w:val="32"/>
          <w:szCs w:val="32"/>
        </w:rPr>
        <w:t>14号）、《财政部关于下达2022年动物防疫等补助经费预算的通知》（财农〔2022〕</w:t>
      </w:r>
      <w:r>
        <w:rPr>
          <w:rFonts w:hint="eastAsia" w:eastAsia="仿宋_GB2312"/>
          <w:sz w:val="32"/>
          <w:szCs w:val="32"/>
        </w:rPr>
        <w:t>3</w:t>
      </w:r>
      <w:r>
        <w:rPr>
          <w:rFonts w:eastAsia="仿宋_GB2312"/>
          <w:sz w:val="32"/>
          <w:szCs w:val="32"/>
        </w:rPr>
        <w:t>7号）要求，结合我市实际，</w:t>
      </w:r>
      <w:r>
        <w:rPr>
          <w:rFonts w:eastAsia="仿宋_GB2312"/>
          <w:color w:val="000000"/>
          <w:sz w:val="32"/>
          <w:szCs w:val="32"/>
        </w:rPr>
        <w:t>2021年12月和2022年</w:t>
      </w:r>
      <w:r>
        <w:rPr>
          <w:rFonts w:hint="eastAsia" w:eastAsia="仿宋_GB2312"/>
          <w:color w:val="000000"/>
          <w:sz w:val="32"/>
          <w:szCs w:val="32"/>
        </w:rPr>
        <w:t>2月、</w:t>
      </w:r>
      <w:r>
        <w:rPr>
          <w:rFonts w:eastAsia="仿宋_GB2312"/>
          <w:color w:val="000000"/>
          <w:sz w:val="32"/>
          <w:szCs w:val="32"/>
        </w:rPr>
        <w:t>5月，我市通过《天津市财政局关于提前下达中央</w:t>
      </w:r>
      <w:r>
        <w:rPr>
          <w:rFonts w:hint="eastAsia" w:eastAsia="仿宋_GB2312"/>
          <w:color w:val="000000"/>
          <w:sz w:val="32"/>
          <w:szCs w:val="32"/>
        </w:rPr>
        <w:t>和市</w:t>
      </w:r>
      <w:r>
        <w:rPr>
          <w:rFonts w:eastAsia="仿宋_GB2312"/>
          <w:color w:val="000000"/>
          <w:sz w:val="32"/>
          <w:szCs w:val="32"/>
        </w:rPr>
        <w:t>财政2022年农业农村专移支付预算</w:t>
      </w:r>
      <w:r>
        <w:rPr>
          <w:rFonts w:hint="eastAsia" w:eastAsia="仿宋_GB2312"/>
          <w:color w:val="000000"/>
          <w:sz w:val="32"/>
          <w:szCs w:val="32"/>
        </w:rPr>
        <w:t>指标</w:t>
      </w:r>
      <w:r>
        <w:rPr>
          <w:rFonts w:eastAsia="仿宋_GB2312"/>
          <w:color w:val="000000"/>
          <w:sz w:val="32"/>
          <w:szCs w:val="32"/>
        </w:rPr>
        <w:t>的通知》（津财农指〔2021〕47号）、《天津市财政局关于批复2022年部门预算的通知》（津财预指〔2022〕100号）、《天津市财政局关于下达2022年中央财政农业生产发展等预算资金的通知》（津财农指〔2021〕12号），及时将中央资金和区域绩效目标等同步分解下达，其中：蓟州区</w:t>
      </w:r>
      <w:r>
        <w:rPr>
          <w:rFonts w:eastAsia="仿宋_GB2312"/>
          <w:sz w:val="32"/>
          <w:szCs w:val="32"/>
          <w:lang w:val="en"/>
        </w:rPr>
        <w:t>400</w:t>
      </w:r>
      <w:r>
        <w:rPr>
          <w:rFonts w:eastAsia="仿宋_GB2312"/>
          <w:sz w:val="32"/>
          <w:szCs w:val="32"/>
        </w:rPr>
        <w:t>万元、</w:t>
      </w:r>
      <w:r>
        <w:rPr>
          <w:rFonts w:hint="eastAsia" w:eastAsia="仿宋_GB2312"/>
          <w:sz w:val="32"/>
          <w:szCs w:val="32"/>
        </w:rPr>
        <w:t>宝坻区1</w:t>
      </w:r>
      <w:r>
        <w:rPr>
          <w:rFonts w:eastAsia="仿宋_GB2312"/>
          <w:sz w:val="32"/>
          <w:szCs w:val="32"/>
        </w:rPr>
        <w:t>50</w:t>
      </w:r>
      <w:r>
        <w:rPr>
          <w:rFonts w:hint="eastAsia" w:eastAsia="仿宋_GB2312"/>
          <w:sz w:val="32"/>
          <w:szCs w:val="32"/>
        </w:rPr>
        <w:t>万元、</w:t>
      </w:r>
      <w:r>
        <w:rPr>
          <w:rFonts w:eastAsia="仿宋_GB2312"/>
          <w:sz w:val="32"/>
          <w:szCs w:val="32"/>
        </w:rPr>
        <w:t>宁河区400万元、</w:t>
      </w:r>
      <w:r>
        <w:rPr>
          <w:rFonts w:hint="eastAsia" w:eastAsia="仿宋_GB2312"/>
          <w:sz w:val="32"/>
          <w:szCs w:val="32"/>
        </w:rPr>
        <w:t>静海区1</w:t>
      </w:r>
      <w:r>
        <w:rPr>
          <w:rFonts w:eastAsia="仿宋_GB2312"/>
          <w:sz w:val="32"/>
          <w:szCs w:val="32"/>
        </w:rPr>
        <w:t>00</w:t>
      </w:r>
      <w:r>
        <w:rPr>
          <w:rFonts w:hint="eastAsia" w:eastAsia="仿宋_GB2312"/>
          <w:sz w:val="32"/>
          <w:szCs w:val="32"/>
        </w:rPr>
        <w:t>万元、津南区1</w:t>
      </w:r>
      <w:r>
        <w:rPr>
          <w:rFonts w:eastAsia="仿宋_GB2312"/>
          <w:sz w:val="32"/>
          <w:szCs w:val="32"/>
        </w:rPr>
        <w:t>7</w:t>
      </w:r>
      <w:r>
        <w:rPr>
          <w:rFonts w:hint="eastAsia" w:eastAsia="仿宋_GB2312"/>
          <w:sz w:val="32"/>
          <w:szCs w:val="32"/>
        </w:rPr>
        <w:t>万元、</w:t>
      </w:r>
      <w:r>
        <w:rPr>
          <w:rFonts w:eastAsia="仿宋_GB2312"/>
          <w:sz w:val="32"/>
          <w:szCs w:val="32"/>
        </w:rPr>
        <w:t>滨海新区130万元、市动物疫病预防控制中心</w:t>
      </w:r>
      <w:r>
        <w:rPr>
          <w:rFonts w:eastAsia="仿宋_GB2312"/>
          <w:sz w:val="32"/>
          <w:szCs w:val="32"/>
          <w:lang w:val="en"/>
        </w:rPr>
        <w:t>902</w:t>
      </w:r>
      <w:r>
        <w:rPr>
          <w:rFonts w:eastAsia="仿宋_GB2312"/>
          <w:sz w:val="32"/>
          <w:szCs w:val="32"/>
        </w:rPr>
        <w:t>万元。</w:t>
      </w:r>
    </w:p>
    <w:p w14:paraId="77E0E057">
      <w:pPr>
        <w:spacing w:line="560" w:lineRule="exact"/>
        <w:ind w:firstLine="640" w:firstLineChars="200"/>
        <w:rPr>
          <w:rFonts w:eastAsia="黑体"/>
          <w:sz w:val="32"/>
          <w:szCs w:val="32"/>
        </w:rPr>
      </w:pPr>
      <w:r>
        <w:rPr>
          <w:rFonts w:eastAsia="黑体"/>
          <w:sz w:val="32"/>
          <w:szCs w:val="32"/>
        </w:rPr>
        <w:t>二、绩效目标完成情况分析</w:t>
      </w:r>
    </w:p>
    <w:p w14:paraId="179AC002">
      <w:pPr>
        <w:spacing w:line="560" w:lineRule="exact"/>
        <w:ind w:firstLine="643" w:firstLineChars="200"/>
        <w:rPr>
          <w:rFonts w:eastAsia="楷体_GB2312"/>
          <w:b/>
          <w:sz w:val="32"/>
          <w:szCs w:val="32"/>
        </w:rPr>
      </w:pPr>
      <w:r>
        <w:rPr>
          <w:rFonts w:eastAsia="楷体_GB2312"/>
          <w:b/>
          <w:sz w:val="32"/>
          <w:szCs w:val="32"/>
        </w:rPr>
        <w:t>（一）资金投入情况分析</w:t>
      </w:r>
    </w:p>
    <w:p w14:paraId="7B0942B6">
      <w:pPr>
        <w:spacing w:line="560" w:lineRule="exact"/>
        <w:ind w:firstLine="643" w:firstLineChars="200"/>
        <w:rPr>
          <w:rFonts w:eastAsia="仿宋_GB2312"/>
          <w:sz w:val="32"/>
          <w:szCs w:val="32"/>
        </w:rPr>
      </w:pPr>
      <w:r>
        <w:rPr>
          <w:rFonts w:eastAsia="仿宋_GB2312"/>
          <w:b/>
          <w:sz w:val="32"/>
          <w:szCs w:val="32"/>
        </w:rPr>
        <w:t>1.项目资金到位情况分析。</w:t>
      </w:r>
      <w:r>
        <w:rPr>
          <w:rFonts w:eastAsia="仿宋_GB2312"/>
          <w:sz w:val="32"/>
          <w:szCs w:val="32"/>
        </w:rPr>
        <w:t>按照中央有关要求，</w:t>
      </w:r>
      <w:r>
        <w:rPr>
          <w:rFonts w:eastAsia="仿宋_GB2312"/>
          <w:color w:val="000000"/>
          <w:sz w:val="32"/>
          <w:szCs w:val="32"/>
        </w:rPr>
        <w:t>2021年12月和2022年2月、5月，我市通过《天津市财政局关于提前下达中央</w:t>
      </w:r>
      <w:r>
        <w:rPr>
          <w:rFonts w:hint="eastAsia" w:eastAsia="仿宋_GB2312"/>
          <w:color w:val="000000"/>
          <w:sz w:val="32"/>
          <w:szCs w:val="32"/>
        </w:rPr>
        <w:t>和市</w:t>
      </w:r>
      <w:r>
        <w:rPr>
          <w:rFonts w:eastAsia="仿宋_GB2312"/>
          <w:color w:val="000000"/>
          <w:sz w:val="32"/>
          <w:szCs w:val="32"/>
        </w:rPr>
        <w:t>财政2022年农业农村专移支付预算</w:t>
      </w:r>
      <w:r>
        <w:rPr>
          <w:rFonts w:hint="eastAsia" w:eastAsia="仿宋_GB2312"/>
          <w:color w:val="000000"/>
          <w:sz w:val="32"/>
          <w:szCs w:val="32"/>
        </w:rPr>
        <w:t>指标</w:t>
      </w:r>
      <w:r>
        <w:rPr>
          <w:rFonts w:eastAsia="仿宋_GB2312"/>
          <w:color w:val="000000"/>
          <w:sz w:val="32"/>
          <w:szCs w:val="32"/>
        </w:rPr>
        <w:t>的通知》（津财农指〔2021〕47号）</w:t>
      </w:r>
      <w:r>
        <w:rPr>
          <w:rFonts w:eastAsia="仿宋_GB2312"/>
          <w:sz w:val="32"/>
          <w:szCs w:val="32"/>
        </w:rPr>
        <w:t>、《天津市财政局关于批复2022年部门预算的通知》（津财预指〔2022〕100号）、《天津市财政局关于下达2022年中央财政农业生产发展等预算资金的通知》（津财农指〔2022〕12号），及时将中央财政2022年动物防疫等补助经费（不含强制扑杀补助经费）预算2099万元下达至各相关区和市级部门，其中：强制免疫902万元、养殖环节病死猪无害化处理补助1197万元。</w:t>
      </w:r>
    </w:p>
    <w:p w14:paraId="42653670">
      <w:pPr>
        <w:spacing w:line="560" w:lineRule="exact"/>
        <w:ind w:firstLine="640" w:firstLineChars="200"/>
        <w:rPr>
          <w:rFonts w:eastAsia="仿宋_GB2312"/>
          <w:sz w:val="32"/>
          <w:szCs w:val="32"/>
        </w:rPr>
      </w:pPr>
      <w:r>
        <w:rPr>
          <w:rFonts w:eastAsia="仿宋_GB2312"/>
          <w:sz w:val="32"/>
          <w:szCs w:val="32"/>
        </w:rPr>
        <w:t>此外，</w:t>
      </w:r>
      <w:r>
        <w:rPr>
          <w:rFonts w:eastAsia="仿宋_GB2312"/>
          <w:color w:val="000000"/>
          <w:sz w:val="32"/>
          <w:szCs w:val="32"/>
        </w:rPr>
        <w:t>2021年</w:t>
      </w:r>
      <w:r>
        <w:rPr>
          <w:rFonts w:hint="eastAsia" w:eastAsia="仿宋_GB2312"/>
          <w:color w:val="000000"/>
          <w:sz w:val="32"/>
          <w:szCs w:val="32"/>
        </w:rPr>
        <w:t>1</w:t>
      </w:r>
      <w:r>
        <w:rPr>
          <w:rFonts w:eastAsia="仿宋_GB2312"/>
          <w:color w:val="000000"/>
          <w:sz w:val="32"/>
          <w:szCs w:val="32"/>
        </w:rPr>
        <w:t>2月</w:t>
      </w:r>
      <w:r>
        <w:rPr>
          <w:rFonts w:eastAsia="仿宋_GB2312"/>
          <w:sz w:val="32"/>
          <w:szCs w:val="32"/>
        </w:rPr>
        <w:t>，我市</w:t>
      </w:r>
      <w:r>
        <w:rPr>
          <w:rFonts w:hint="eastAsia" w:eastAsia="仿宋_GB2312"/>
          <w:sz w:val="32"/>
          <w:szCs w:val="32"/>
        </w:rPr>
        <w:t>通过</w:t>
      </w:r>
      <w:r>
        <w:rPr>
          <w:rFonts w:eastAsia="仿宋_GB2312"/>
          <w:color w:val="000000"/>
          <w:sz w:val="32"/>
          <w:szCs w:val="32"/>
        </w:rPr>
        <w:t>《天津市财政局关于提前下达中央</w:t>
      </w:r>
      <w:r>
        <w:rPr>
          <w:rFonts w:hint="eastAsia" w:eastAsia="仿宋_GB2312"/>
          <w:color w:val="000000"/>
          <w:sz w:val="32"/>
          <w:szCs w:val="32"/>
        </w:rPr>
        <w:t>和市</w:t>
      </w:r>
      <w:r>
        <w:rPr>
          <w:rFonts w:eastAsia="仿宋_GB2312"/>
          <w:color w:val="000000"/>
          <w:sz w:val="32"/>
          <w:szCs w:val="32"/>
        </w:rPr>
        <w:t>财政2022年农业农村专移支付预算</w:t>
      </w:r>
      <w:r>
        <w:rPr>
          <w:rFonts w:hint="eastAsia" w:eastAsia="仿宋_GB2312"/>
          <w:color w:val="000000"/>
          <w:sz w:val="32"/>
          <w:szCs w:val="32"/>
        </w:rPr>
        <w:t>指标</w:t>
      </w:r>
      <w:r>
        <w:rPr>
          <w:rFonts w:eastAsia="仿宋_GB2312"/>
          <w:color w:val="000000"/>
          <w:sz w:val="32"/>
          <w:szCs w:val="32"/>
        </w:rPr>
        <w:t>的通知》（津财农指〔2021〕47号）</w:t>
      </w:r>
      <w:r>
        <w:rPr>
          <w:rFonts w:hint="eastAsia" w:eastAsia="仿宋_GB2312"/>
          <w:color w:val="000000"/>
          <w:sz w:val="32"/>
          <w:szCs w:val="32"/>
        </w:rPr>
        <w:t>、安排市级</w:t>
      </w:r>
      <w:r>
        <w:rPr>
          <w:rFonts w:eastAsia="仿宋_GB2312"/>
          <w:sz w:val="32"/>
          <w:szCs w:val="32"/>
        </w:rPr>
        <w:t>病死猪无害化处理补助</w:t>
      </w:r>
      <w:r>
        <w:rPr>
          <w:rFonts w:hint="eastAsia" w:eastAsia="仿宋_GB2312"/>
          <w:sz w:val="32"/>
          <w:szCs w:val="32"/>
        </w:rPr>
        <w:t>2</w:t>
      </w:r>
      <w:r>
        <w:rPr>
          <w:rFonts w:eastAsia="仿宋_GB2312"/>
          <w:sz w:val="32"/>
          <w:szCs w:val="32"/>
        </w:rPr>
        <w:t>297.3</w:t>
      </w:r>
      <w:r>
        <w:rPr>
          <w:rFonts w:hint="eastAsia" w:eastAsia="仿宋_GB2312"/>
          <w:sz w:val="32"/>
          <w:szCs w:val="32"/>
        </w:rPr>
        <w:t>万元、强制免疫补助2</w:t>
      </w:r>
      <w:r>
        <w:rPr>
          <w:rFonts w:eastAsia="仿宋_GB2312"/>
          <w:sz w:val="32"/>
          <w:szCs w:val="32"/>
        </w:rPr>
        <w:t>78.1</w:t>
      </w:r>
      <w:r>
        <w:rPr>
          <w:rFonts w:hint="eastAsia" w:eastAsia="仿宋_GB2312"/>
          <w:sz w:val="32"/>
          <w:szCs w:val="32"/>
        </w:rPr>
        <w:t>万元、村级防疫员补助1</w:t>
      </w:r>
      <w:r>
        <w:rPr>
          <w:rFonts w:eastAsia="仿宋_GB2312"/>
          <w:sz w:val="32"/>
          <w:szCs w:val="32"/>
        </w:rPr>
        <w:t>219.6</w:t>
      </w:r>
      <w:r>
        <w:rPr>
          <w:rFonts w:hint="eastAsia" w:eastAsia="仿宋_GB2312"/>
          <w:sz w:val="32"/>
          <w:szCs w:val="32"/>
        </w:rPr>
        <w:t>万元。</w:t>
      </w:r>
    </w:p>
    <w:p w14:paraId="25AB0CEB">
      <w:pPr>
        <w:spacing w:line="560" w:lineRule="exact"/>
        <w:ind w:firstLine="643" w:firstLineChars="200"/>
        <w:rPr>
          <w:rFonts w:eastAsia="仿宋_GB2312"/>
          <w:color w:val="FF0000"/>
          <w:sz w:val="32"/>
          <w:szCs w:val="32"/>
        </w:rPr>
      </w:pPr>
      <w:r>
        <w:rPr>
          <w:rFonts w:eastAsia="仿宋_GB2312"/>
          <w:b/>
          <w:sz w:val="32"/>
          <w:szCs w:val="32"/>
        </w:rPr>
        <w:t>2.项目资金执行情况分析。</w:t>
      </w:r>
      <w:r>
        <w:rPr>
          <w:rFonts w:eastAsia="仿宋_GB2312"/>
          <w:color w:val="000000"/>
          <w:sz w:val="32"/>
          <w:szCs w:val="32"/>
        </w:rPr>
        <w:t>年度资金总额6134万元，已执行2378万元，执行率38.8%，其中：中央资金2099万元、已执行1449万元、执行率69%，地方资金4035万元、已执行929.2万元、执行率23%。</w:t>
      </w:r>
    </w:p>
    <w:p w14:paraId="20840679">
      <w:pPr>
        <w:spacing w:line="560" w:lineRule="exact"/>
        <w:ind w:firstLine="643" w:firstLineChars="200"/>
        <w:rPr>
          <w:rFonts w:eastAsia="仿宋_GB2312"/>
          <w:sz w:val="32"/>
          <w:szCs w:val="32"/>
        </w:rPr>
      </w:pPr>
      <w:r>
        <w:rPr>
          <w:rFonts w:eastAsia="仿宋_GB2312"/>
          <w:b/>
          <w:sz w:val="32"/>
          <w:szCs w:val="32"/>
        </w:rPr>
        <w:t>3.项目资金管理情况分析。</w:t>
      </w:r>
      <w:r>
        <w:rPr>
          <w:rFonts w:eastAsia="仿宋_GB2312"/>
          <w:sz w:val="32"/>
          <w:szCs w:val="32"/>
        </w:rPr>
        <w:t>一是及时拨付资金。按照财政部、农业农村部要求，我市及时分解下达中央财政动物防疫等补助经费，资金拨付程序规范、手续完备，不存在统筹使用约束性任务资金等情况。二是实行“大专项+任务清单”管理。按照《天津市人民政府办公厅印发关于探索建立我市涉农资金统筹整合长效机制的实施方案的通知》（津政办函〔2018〕14号）要求，制定任务清单，区分约束性任务和指导性任务，实施差别化管理。三是统筹使用中央和市级资金形成政策合力。我市在编制市级实施方案时，注重统筹考虑中央和市级政策，为确保更好的完成各项重点任务，将财政资金统筹安排使用。四</w:t>
      </w:r>
      <w:r>
        <w:rPr>
          <w:rFonts w:hint="eastAsia" w:eastAsia="仿宋_GB2312"/>
          <w:sz w:val="32"/>
          <w:szCs w:val="32"/>
        </w:rPr>
        <w:t>是</w:t>
      </w:r>
      <w:r>
        <w:rPr>
          <w:rFonts w:eastAsia="仿宋_GB2312"/>
          <w:sz w:val="32"/>
          <w:szCs w:val="32"/>
        </w:rPr>
        <w:t>印发资金管理办法。</w:t>
      </w:r>
      <w:r>
        <w:rPr>
          <w:rFonts w:hint="eastAsia" w:eastAsia="仿宋_GB2312"/>
          <w:sz w:val="32"/>
          <w:szCs w:val="32"/>
        </w:rPr>
        <w:t>为进一步加强动物</w:t>
      </w:r>
      <w:r>
        <w:rPr>
          <w:rFonts w:eastAsia="仿宋_GB2312"/>
          <w:sz w:val="32"/>
          <w:szCs w:val="32"/>
        </w:rPr>
        <w:t>防疫</w:t>
      </w:r>
      <w:r>
        <w:rPr>
          <w:rFonts w:hint="eastAsia" w:eastAsia="仿宋_GB2312"/>
          <w:sz w:val="32"/>
          <w:szCs w:val="32"/>
        </w:rPr>
        <w:t>补助</w:t>
      </w:r>
      <w:r>
        <w:rPr>
          <w:rFonts w:eastAsia="仿宋_GB2312"/>
          <w:sz w:val="32"/>
          <w:szCs w:val="32"/>
        </w:rPr>
        <w:t>资金管理，</w:t>
      </w:r>
      <w:r>
        <w:rPr>
          <w:rFonts w:hint="eastAsia" w:eastAsia="仿宋_GB2312"/>
          <w:sz w:val="32"/>
          <w:szCs w:val="32"/>
        </w:rPr>
        <w:t>不断</w:t>
      </w:r>
      <w:r>
        <w:rPr>
          <w:rFonts w:eastAsia="仿宋_GB2312"/>
          <w:sz w:val="32"/>
          <w:szCs w:val="32"/>
        </w:rPr>
        <w:t>提高</w:t>
      </w:r>
      <w:r>
        <w:rPr>
          <w:rFonts w:hint="eastAsia" w:eastAsia="仿宋_GB2312"/>
          <w:sz w:val="32"/>
          <w:szCs w:val="32"/>
        </w:rPr>
        <w:t>资金</w:t>
      </w:r>
      <w:r>
        <w:rPr>
          <w:rFonts w:eastAsia="仿宋_GB2312"/>
          <w:sz w:val="32"/>
          <w:szCs w:val="32"/>
        </w:rPr>
        <w:t>使用</w:t>
      </w:r>
      <w:r>
        <w:rPr>
          <w:rFonts w:hint="eastAsia" w:eastAsia="仿宋_GB2312"/>
          <w:sz w:val="32"/>
          <w:szCs w:val="32"/>
        </w:rPr>
        <w:t>效益</w:t>
      </w:r>
      <w:r>
        <w:rPr>
          <w:rFonts w:eastAsia="仿宋_GB2312"/>
          <w:sz w:val="32"/>
          <w:szCs w:val="32"/>
        </w:rPr>
        <w:t>，</w:t>
      </w:r>
      <w:r>
        <w:rPr>
          <w:rFonts w:hint="eastAsia" w:eastAsia="仿宋_GB2312"/>
          <w:sz w:val="32"/>
          <w:szCs w:val="32"/>
        </w:rPr>
        <w:t>大力</w:t>
      </w:r>
      <w:r>
        <w:rPr>
          <w:rFonts w:eastAsia="仿宋_GB2312"/>
          <w:sz w:val="32"/>
          <w:szCs w:val="32"/>
        </w:rPr>
        <w:t>增强</w:t>
      </w:r>
      <w:r>
        <w:rPr>
          <w:rFonts w:hint="eastAsia" w:eastAsia="仿宋_GB2312"/>
          <w:sz w:val="32"/>
          <w:szCs w:val="32"/>
        </w:rPr>
        <w:t>动物</w:t>
      </w:r>
      <w:r>
        <w:rPr>
          <w:rFonts w:eastAsia="仿宋_GB2312"/>
          <w:sz w:val="32"/>
          <w:szCs w:val="32"/>
        </w:rPr>
        <w:t>疫病</w:t>
      </w:r>
      <w:r>
        <w:rPr>
          <w:rFonts w:hint="eastAsia" w:eastAsia="仿宋_GB2312"/>
          <w:sz w:val="32"/>
          <w:szCs w:val="32"/>
        </w:rPr>
        <w:t>防控</w:t>
      </w:r>
      <w:r>
        <w:rPr>
          <w:rFonts w:eastAsia="仿宋_GB2312"/>
          <w:sz w:val="32"/>
          <w:szCs w:val="32"/>
        </w:rPr>
        <w:t>能力，我市印发</w:t>
      </w:r>
      <w:r>
        <w:rPr>
          <w:rFonts w:hint="eastAsia" w:eastAsia="仿宋_GB2312"/>
          <w:sz w:val="32"/>
          <w:szCs w:val="32"/>
        </w:rPr>
        <w:t>《天津市动物防疫补助资金管理办法》（津财规〔2021〕18号），就</w:t>
      </w:r>
      <w:r>
        <w:rPr>
          <w:rFonts w:eastAsia="仿宋_GB2312"/>
          <w:sz w:val="32"/>
          <w:szCs w:val="32"/>
        </w:rPr>
        <w:t>资金的分配、</w:t>
      </w:r>
      <w:r>
        <w:rPr>
          <w:rFonts w:hint="eastAsia" w:eastAsia="仿宋_GB2312"/>
          <w:sz w:val="32"/>
          <w:szCs w:val="32"/>
        </w:rPr>
        <w:t>使用、</w:t>
      </w:r>
      <w:r>
        <w:rPr>
          <w:rFonts w:eastAsia="仿宋_GB2312"/>
          <w:sz w:val="32"/>
          <w:szCs w:val="32"/>
        </w:rPr>
        <w:t>管理</w:t>
      </w:r>
      <w:r>
        <w:rPr>
          <w:rFonts w:hint="eastAsia" w:eastAsia="仿宋_GB2312"/>
          <w:sz w:val="32"/>
          <w:szCs w:val="32"/>
        </w:rPr>
        <w:t>和</w:t>
      </w:r>
      <w:r>
        <w:rPr>
          <w:rFonts w:eastAsia="仿宋_GB2312"/>
          <w:sz w:val="32"/>
          <w:szCs w:val="32"/>
        </w:rPr>
        <w:t>监督</w:t>
      </w:r>
      <w:r>
        <w:rPr>
          <w:rFonts w:hint="eastAsia" w:eastAsia="仿宋_GB2312"/>
          <w:sz w:val="32"/>
          <w:szCs w:val="32"/>
        </w:rPr>
        <w:t>提出</w:t>
      </w:r>
      <w:r>
        <w:rPr>
          <w:rFonts w:eastAsia="仿宋_GB2312"/>
          <w:sz w:val="32"/>
          <w:szCs w:val="32"/>
        </w:rPr>
        <w:t>了明确要求。</w:t>
      </w:r>
    </w:p>
    <w:p w14:paraId="4F459993">
      <w:pPr>
        <w:spacing w:line="560" w:lineRule="exact"/>
        <w:ind w:firstLine="643" w:firstLineChars="200"/>
        <w:rPr>
          <w:rFonts w:eastAsia="楷体_GB2312"/>
          <w:b/>
          <w:sz w:val="32"/>
          <w:szCs w:val="24"/>
        </w:rPr>
      </w:pPr>
      <w:r>
        <w:rPr>
          <w:rFonts w:eastAsia="楷体_GB2312"/>
          <w:b/>
          <w:sz w:val="32"/>
          <w:szCs w:val="24"/>
        </w:rPr>
        <w:t>（二）总体绩效目标完成情况分析</w:t>
      </w:r>
    </w:p>
    <w:p w14:paraId="1FE025D7">
      <w:pPr>
        <w:spacing w:line="560" w:lineRule="exact"/>
        <w:ind w:firstLine="640" w:firstLineChars="200"/>
        <w:rPr>
          <w:rFonts w:eastAsia="仿宋_GB2312"/>
          <w:color w:val="000000"/>
          <w:sz w:val="32"/>
          <w:szCs w:val="32"/>
        </w:rPr>
      </w:pPr>
      <w:r>
        <w:rPr>
          <w:rFonts w:eastAsia="仿宋_GB2312"/>
          <w:color w:val="000000"/>
          <w:sz w:val="32"/>
          <w:szCs w:val="32"/>
        </w:rPr>
        <w:t>2022年中央下达我市年度总体绩效目标为：</w:t>
      </w:r>
      <w:r>
        <w:rPr>
          <w:rFonts w:eastAsia="仿宋_GB2312"/>
          <w:sz w:val="32"/>
          <w:szCs w:val="32"/>
        </w:rPr>
        <w:t>“开展强制免疫、强制扑杀和养殖环节病死猪无害化处理”，</w:t>
      </w:r>
      <w:r>
        <w:rPr>
          <w:rFonts w:eastAsia="仿宋_GB2312"/>
          <w:color w:val="000000"/>
          <w:sz w:val="32"/>
          <w:szCs w:val="32"/>
        </w:rPr>
        <w:t>上述目标截至目前已全部完成。全年实际完成情况如下：强制免疫密度达到100%，平均抗体合格率常年保持80%以上；病死猪专业无害化处理率不断提高；经费统筹使用率进一步提高。</w:t>
      </w:r>
    </w:p>
    <w:p w14:paraId="112C1C6C">
      <w:pPr>
        <w:spacing w:line="560" w:lineRule="exact"/>
        <w:ind w:firstLine="643" w:firstLineChars="200"/>
        <w:rPr>
          <w:rFonts w:eastAsia="楷体_GB2312"/>
          <w:b/>
          <w:sz w:val="32"/>
          <w:szCs w:val="24"/>
        </w:rPr>
      </w:pPr>
      <w:r>
        <w:rPr>
          <w:rFonts w:eastAsia="楷体_GB2312"/>
          <w:b/>
          <w:sz w:val="32"/>
          <w:szCs w:val="24"/>
        </w:rPr>
        <w:t>（三）绩效指标完成情况分析</w:t>
      </w:r>
    </w:p>
    <w:p w14:paraId="408AE19A">
      <w:pPr>
        <w:spacing w:line="560" w:lineRule="exact"/>
        <w:ind w:firstLine="640" w:firstLineChars="200"/>
        <w:rPr>
          <w:rFonts w:eastAsia="仿宋_GB2312"/>
          <w:sz w:val="32"/>
          <w:szCs w:val="32"/>
        </w:rPr>
      </w:pPr>
      <w:r>
        <w:rPr>
          <w:rFonts w:eastAsia="仿宋_GB2312"/>
          <w:sz w:val="32"/>
          <w:szCs w:val="32"/>
        </w:rPr>
        <w:t>全年共分解下达绩效指标</w:t>
      </w:r>
      <w:r>
        <w:rPr>
          <w:rFonts w:hint="eastAsia" w:eastAsia="仿宋_GB2312"/>
          <w:sz w:val="32"/>
          <w:szCs w:val="32"/>
        </w:rPr>
        <w:t>1</w:t>
      </w:r>
      <w:r>
        <w:rPr>
          <w:rFonts w:eastAsia="仿宋_GB2312"/>
          <w:sz w:val="32"/>
          <w:szCs w:val="32"/>
        </w:rPr>
        <w:t>8个，</w:t>
      </w:r>
      <w:r>
        <w:rPr>
          <w:rFonts w:hint="eastAsia" w:eastAsia="仿宋_GB2312"/>
          <w:sz w:val="32"/>
          <w:szCs w:val="32"/>
        </w:rPr>
        <w:t>完成1</w:t>
      </w:r>
      <w:r>
        <w:rPr>
          <w:rFonts w:eastAsia="仿宋_GB2312"/>
          <w:sz w:val="32"/>
          <w:szCs w:val="32"/>
        </w:rPr>
        <w:t>7</w:t>
      </w:r>
      <w:r>
        <w:rPr>
          <w:rFonts w:hint="eastAsia" w:eastAsia="仿宋_GB2312"/>
          <w:sz w:val="32"/>
          <w:szCs w:val="32"/>
        </w:rPr>
        <w:t>个，未完成1个</w:t>
      </w:r>
      <w:r>
        <w:rPr>
          <w:rFonts w:eastAsia="仿宋_GB2312"/>
          <w:sz w:val="32"/>
          <w:szCs w:val="32"/>
        </w:rPr>
        <w:t>。</w:t>
      </w:r>
    </w:p>
    <w:p w14:paraId="270824D3">
      <w:pPr>
        <w:spacing w:line="560" w:lineRule="exact"/>
        <w:ind w:firstLine="640" w:firstLineChars="200"/>
        <w:rPr>
          <w:rFonts w:eastAsia="仿宋_GB2312"/>
          <w:sz w:val="32"/>
          <w:szCs w:val="32"/>
        </w:rPr>
      </w:pPr>
      <w:r>
        <w:rPr>
          <w:rFonts w:eastAsia="仿宋_GB2312"/>
          <w:sz w:val="32"/>
          <w:szCs w:val="32"/>
        </w:rPr>
        <w:t>1.产出指标12个，</w:t>
      </w:r>
      <w:r>
        <w:rPr>
          <w:rFonts w:hint="eastAsia" w:eastAsia="仿宋_GB2312"/>
          <w:sz w:val="32"/>
          <w:szCs w:val="32"/>
        </w:rPr>
        <w:t>全部</w:t>
      </w:r>
      <w:r>
        <w:rPr>
          <w:rFonts w:eastAsia="仿宋_GB2312"/>
          <w:sz w:val="32"/>
          <w:szCs w:val="32"/>
        </w:rPr>
        <w:t>完成。</w:t>
      </w:r>
    </w:p>
    <w:p w14:paraId="41F93445">
      <w:pPr>
        <w:spacing w:line="560" w:lineRule="exact"/>
        <w:ind w:firstLine="640" w:firstLineChars="200"/>
        <w:rPr>
          <w:rFonts w:eastAsia="仿宋_GB2312"/>
          <w:color w:val="FF0000"/>
          <w:sz w:val="32"/>
          <w:szCs w:val="32"/>
        </w:rPr>
      </w:pPr>
      <w:r>
        <w:rPr>
          <w:rFonts w:eastAsia="仿宋_GB2312"/>
          <w:sz w:val="32"/>
          <w:szCs w:val="32"/>
        </w:rPr>
        <w:t>一是数量指标3个，</w:t>
      </w:r>
      <w:r>
        <w:rPr>
          <w:rFonts w:eastAsia="仿宋_GB2312"/>
          <w:sz w:val="32"/>
          <w:szCs w:val="32"/>
          <w:highlight w:val="none"/>
        </w:rPr>
        <w:t>全部完成。强制免疫病种应免畜禽的免疫密度100%，养殖环节无害化处理补助的病死猪</w:t>
      </w:r>
      <w:r>
        <w:rPr>
          <w:rFonts w:hint="eastAsia" w:eastAsia="仿宋_GB2312"/>
          <w:sz w:val="32"/>
          <w:szCs w:val="32"/>
          <w:highlight w:val="none"/>
        </w:rPr>
        <w:t>392393</w:t>
      </w:r>
      <w:r>
        <w:rPr>
          <w:rFonts w:eastAsia="仿宋_GB2312"/>
          <w:sz w:val="32"/>
          <w:szCs w:val="32"/>
          <w:highlight w:val="none"/>
        </w:rPr>
        <w:t>头</w:t>
      </w:r>
      <w:r>
        <w:rPr>
          <w:rFonts w:hint="eastAsia" w:eastAsia="仿宋_GB2312"/>
          <w:sz w:val="32"/>
          <w:szCs w:val="32"/>
          <w:highlight w:val="none"/>
        </w:rPr>
        <w:t>，补助3</w:t>
      </w:r>
      <w:r>
        <w:rPr>
          <w:rFonts w:eastAsia="仿宋_GB2312"/>
          <w:sz w:val="32"/>
          <w:szCs w:val="32"/>
          <w:highlight w:val="none"/>
        </w:rPr>
        <w:t>387</w:t>
      </w:r>
      <w:r>
        <w:rPr>
          <w:rFonts w:hint="eastAsia" w:eastAsia="仿宋_GB2312"/>
          <w:sz w:val="32"/>
          <w:szCs w:val="32"/>
          <w:highlight w:val="none"/>
        </w:rPr>
        <w:t>个村的村级防</w:t>
      </w:r>
      <w:r>
        <w:rPr>
          <w:rFonts w:hint="eastAsia" w:eastAsia="仿宋_GB2312"/>
          <w:sz w:val="32"/>
          <w:szCs w:val="32"/>
        </w:rPr>
        <w:t>疫员</w:t>
      </w:r>
      <w:r>
        <w:rPr>
          <w:rFonts w:eastAsia="仿宋_GB2312"/>
          <w:sz w:val="32"/>
          <w:szCs w:val="32"/>
        </w:rPr>
        <w:t>。</w:t>
      </w:r>
    </w:p>
    <w:p w14:paraId="30DF10DD">
      <w:pPr>
        <w:spacing w:line="560" w:lineRule="exact"/>
        <w:ind w:firstLine="640" w:firstLineChars="200"/>
        <w:rPr>
          <w:rFonts w:eastAsia="仿宋_GB2312"/>
          <w:sz w:val="32"/>
          <w:szCs w:val="32"/>
        </w:rPr>
      </w:pPr>
      <w:r>
        <w:rPr>
          <w:rFonts w:eastAsia="仿宋_GB2312"/>
          <w:sz w:val="32"/>
          <w:szCs w:val="32"/>
        </w:rPr>
        <w:t>二是质量指标4个，完成</w:t>
      </w:r>
      <w:r>
        <w:rPr>
          <w:rFonts w:hint="eastAsia" w:eastAsia="仿宋_GB2312"/>
          <w:sz w:val="32"/>
          <w:szCs w:val="32"/>
        </w:rPr>
        <w:t>3</w:t>
      </w:r>
      <w:r>
        <w:rPr>
          <w:rFonts w:eastAsia="仿宋_GB2312"/>
          <w:sz w:val="32"/>
          <w:szCs w:val="32"/>
        </w:rPr>
        <w:t>个</w:t>
      </w:r>
      <w:r>
        <w:rPr>
          <w:rFonts w:hint="eastAsia" w:eastAsia="仿宋_GB2312"/>
          <w:sz w:val="32"/>
          <w:szCs w:val="32"/>
        </w:rPr>
        <w:t>，未完成1个</w:t>
      </w:r>
      <w:r>
        <w:rPr>
          <w:rFonts w:eastAsia="仿宋_GB2312"/>
          <w:sz w:val="32"/>
          <w:szCs w:val="32"/>
        </w:rPr>
        <w:t>。</w:t>
      </w:r>
    </w:p>
    <w:p w14:paraId="0E542063">
      <w:pPr>
        <w:spacing w:line="560" w:lineRule="exact"/>
        <w:ind w:firstLine="640" w:firstLineChars="200"/>
        <w:rPr>
          <w:rFonts w:eastAsia="仿宋_GB2312"/>
          <w:sz w:val="32"/>
          <w:szCs w:val="32"/>
          <w:highlight w:val="none"/>
        </w:rPr>
      </w:pPr>
      <w:r>
        <w:rPr>
          <w:rFonts w:eastAsia="仿宋_GB2312"/>
          <w:sz w:val="32"/>
          <w:szCs w:val="32"/>
        </w:rPr>
        <w:t>中央财政补助经费使用率69%，低于指标值要求</w:t>
      </w:r>
      <w:r>
        <w:rPr>
          <w:rFonts w:hint="eastAsia" w:eastAsia="仿宋_GB2312"/>
          <w:sz w:val="32"/>
          <w:szCs w:val="32"/>
        </w:rPr>
        <w:t>；</w:t>
      </w:r>
      <w:r>
        <w:rPr>
          <w:rFonts w:eastAsia="仿宋_GB2312"/>
          <w:sz w:val="32"/>
          <w:szCs w:val="32"/>
        </w:rPr>
        <w:t>依法对重大动物疫情处置率达到100%，指标符合要求。免疫质</w:t>
      </w:r>
      <w:r>
        <w:rPr>
          <w:rFonts w:eastAsia="仿宋_GB2312"/>
          <w:sz w:val="32"/>
          <w:szCs w:val="32"/>
          <w:highlight w:val="none"/>
        </w:rPr>
        <w:t>量和免疫效果（除布病外其他病种的平均免疫抗体合格率）≥</w:t>
      </w:r>
      <w:r>
        <w:rPr>
          <w:rFonts w:hint="eastAsia" w:eastAsia="仿宋_GB2312"/>
          <w:sz w:val="32"/>
          <w:szCs w:val="32"/>
          <w:highlight w:val="none"/>
        </w:rPr>
        <w:t>80</w:t>
      </w:r>
      <w:r>
        <w:rPr>
          <w:rFonts w:eastAsia="仿宋_GB2312"/>
          <w:sz w:val="32"/>
          <w:szCs w:val="32"/>
          <w:highlight w:val="none"/>
        </w:rPr>
        <w:t>%，高于指标值70%的要求</w:t>
      </w:r>
      <w:r>
        <w:rPr>
          <w:rFonts w:hint="eastAsia" w:eastAsia="仿宋_GB2312"/>
          <w:sz w:val="32"/>
          <w:szCs w:val="32"/>
          <w:highlight w:val="none"/>
        </w:rPr>
        <w:t>；申报无害化处理病死猪无害化处理率达到1</w:t>
      </w:r>
      <w:r>
        <w:rPr>
          <w:rFonts w:eastAsia="仿宋_GB2312"/>
          <w:sz w:val="32"/>
          <w:szCs w:val="32"/>
          <w:highlight w:val="none"/>
        </w:rPr>
        <w:t>00%。</w:t>
      </w:r>
    </w:p>
    <w:p w14:paraId="4FD01DC2">
      <w:pPr>
        <w:spacing w:line="560" w:lineRule="exact"/>
        <w:ind w:firstLine="640" w:firstLineChars="200"/>
        <w:rPr>
          <w:rFonts w:eastAsia="仿宋_GB2312"/>
          <w:sz w:val="32"/>
          <w:szCs w:val="32"/>
        </w:rPr>
      </w:pPr>
      <w:r>
        <w:rPr>
          <w:rFonts w:hint="eastAsia" w:eastAsia="仿宋_GB2312"/>
          <w:sz w:val="32"/>
          <w:szCs w:val="32"/>
        </w:rPr>
        <w:t>三是时效指标1个，已经完成。项目于2</w:t>
      </w:r>
      <w:r>
        <w:rPr>
          <w:rFonts w:eastAsia="仿宋_GB2312"/>
          <w:sz w:val="32"/>
          <w:szCs w:val="32"/>
        </w:rPr>
        <w:t>022</w:t>
      </w:r>
      <w:r>
        <w:rPr>
          <w:rFonts w:hint="eastAsia" w:eastAsia="仿宋_GB2312"/>
          <w:sz w:val="32"/>
          <w:szCs w:val="32"/>
        </w:rPr>
        <w:t>年底前完成。</w:t>
      </w:r>
    </w:p>
    <w:p w14:paraId="051F4EE4">
      <w:pPr>
        <w:spacing w:line="560" w:lineRule="exact"/>
        <w:ind w:firstLine="640" w:firstLineChars="200"/>
        <w:rPr>
          <w:rFonts w:eastAsia="仿宋_GB2312"/>
          <w:sz w:val="32"/>
          <w:szCs w:val="32"/>
          <w:highlight w:val="none"/>
        </w:rPr>
      </w:pPr>
      <w:r>
        <w:rPr>
          <w:rFonts w:hint="eastAsia" w:eastAsia="仿宋_GB2312"/>
          <w:sz w:val="32"/>
          <w:szCs w:val="32"/>
        </w:rPr>
        <w:t>四是成本指标4个，</w:t>
      </w:r>
      <w:r>
        <w:rPr>
          <w:rFonts w:hint="eastAsia" w:eastAsia="仿宋_GB2312"/>
          <w:sz w:val="32"/>
          <w:szCs w:val="32"/>
          <w:highlight w:val="none"/>
        </w:rPr>
        <w:t>全部完成。强制免疫“先打后补”试点补助应兑付金额、病死动物无害化处理补助应兑付金额、村级防疫员补助应兑付金额、检疫性病虫害防控阻截项目资金全部低于预算安排资金。</w:t>
      </w:r>
    </w:p>
    <w:p w14:paraId="71E18F2B">
      <w:pPr>
        <w:spacing w:line="560" w:lineRule="exact"/>
        <w:ind w:firstLine="640" w:firstLineChars="200"/>
        <w:rPr>
          <w:rFonts w:eastAsia="仿宋_GB2312"/>
          <w:sz w:val="32"/>
          <w:szCs w:val="32"/>
        </w:rPr>
      </w:pPr>
      <w:r>
        <w:rPr>
          <w:rFonts w:eastAsia="仿宋_GB2312"/>
          <w:sz w:val="32"/>
          <w:szCs w:val="32"/>
        </w:rPr>
        <w:t>2.效益指标4个，全部完成。</w:t>
      </w:r>
    </w:p>
    <w:p w14:paraId="34E74F22">
      <w:pPr>
        <w:spacing w:line="560" w:lineRule="exact"/>
        <w:ind w:firstLine="640" w:firstLineChars="200"/>
        <w:rPr>
          <w:rFonts w:eastAsia="仿宋_GB2312"/>
          <w:sz w:val="32"/>
          <w:szCs w:val="32"/>
        </w:rPr>
      </w:pPr>
      <w:r>
        <w:rPr>
          <w:rFonts w:eastAsia="仿宋_GB2312"/>
          <w:sz w:val="32"/>
          <w:szCs w:val="32"/>
        </w:rPr>
        <w:t>一是社会效益指标2个，全部完成。其中口蹄疫、高致病性禽流感、布病等优先防治病种防治工作保持平稳，2021年主动监测结果显示，我市未发生口蹄疫、高致病性禽流感、布病等优先防治病种区域性流行事件，也未接到相关疫情举报。无资金使用重大违规违纪问题。</w:t>
      </w:r>
    </w:p>
    <w:p w14:paraId="4A35CCB8">
      <w:pPr>
        <w:spacing w:line="560" w:lineRule="exact"/>
        <w:ind w:firstLine="640" w:firstLineChars="200"/>
        <w:rPr>
          <w:rFonts w:eastAsia="仿宋_GB2312"/>
          <w:sz w:val="32"/>
          <w:szCs w:val="32"/>
        </w:rPr>
      </w:pPr>
      <w:r>
        <w:rPr>
          <w:rFonts w:eastAsia="仿宋_GB2312"/>
          <w:sz w:val="32"/>
          <w:szCs w:val="32"/>
        </w:rPr>
        <w:t>二是生态效益指标1个，全部完成。我市积极推进病死畜禽无害化处理体系建设，病死猪专业无害化处理率不断提高，其中宝坻区、宁河区、津南区和东丽区已实现集中无害化处理。年内我市未发生大规模随意抛弃病死猪事件。</w:t>
      </w:r>
    </w:p>
    <w:p w14:paraId="5225AC20">
      <w:pPr>
        <w:spacing w:line="560" w:lineRule="exact"/>
        <w:ind w:firstLine="640" w:firstLineChars="200"/>
        <w:rPr>
          <w:rFonts w:eastAsia="仿宋_GB2312"/>
          <w:color w:val="auto"/>
          <w:sz w:val="32"/>
          <w:szCs w:val="32"/>
        </w:rPr>
      </w:pPr>
      <w:r>
        <w:rPr>
          <w:rFonts w:hint="eastAsia" w:eastAsia="仿宋_GB2312"/>
          <w:color w:val="auto"/>
          <w:sz w:val="32"/>
          <w:szCs w:val="32"/>
        </w:rPr>
        <w:t>三是可持续影响指标1个，全部完成。通过项目实施，检疫性病虫害防控效果得到明显提升。</w:t>
      </w:r>
    </w:p>
    <w:p w14:paraId="49F423CA">
      <w:pPr>
        <w:spacing w:line="560" w:lineRule="exact"/>
        <w:ind w:firstLine="640" w:firstLineChars="200"/>
        <w:rPr>
          <w:rFonts w:eastAsia="仿宋_GB2312"/>
          <w:color w:val="auto"/>
          <w:sz w:val="32"/>
          <w:szCs w:val="32"/>
          <w:highlight w:val="none"/>
        </w:rPr>
      </w:pPr>
      <w:r>
        <w:rPr>
          <w:rFonts w:eastAsia="仿宋_GB2312"/>
          <w:color w:val="auto"/>
          <w:sz w:val="32"/>
          <w:szCs w:val="32"/>
        </w:rPr>
        <w:t>3.满意度指标2个，全部完成。</w:t>
      </w:r>
      <w:r>
        <w:rPr>
          <w:rFonts w:hint="eastAsia" w:eastAsia="仿宋_GB2312"/>
          <w:color w:val="auto"/>
          <w:sz w:val="32"/>
          <w:szCs w:val="32"/>
          <w:highlight w:val="none"/>
        </w:rPr>
        <w:t>养殖场（户）对项目满意度达到</w:t>
      </w:r>
      <w:r>
        <w:rPr>
          <w:rFonts w:eastAsia="仿宋_GB2312"/>
          <w:color w:val="auto"/>
          <w:sz w:val="32"/>
          <w:szCs w:val="32"/>
          <w:highlight w:val="none"/>
        </w:rPr>
        <w:t>98.2</w:t>
      </w:r>
      <w:r>
        <w:rPr>
          <w:rFonts w:hint="eastAsia" w:eastAsia="仿宋_GB2312"/>
          <w:color w:val="auto"/>
          <w:sz w:val="32"/>
          <w:szCs w:val="32"/>
          <w:highlight w:val="none"/>
        </w:rPr>
        <w:t>%，受益群体对项目满意度达到</w:t>
      </w:r>
      <w:r>
        <w:rPr>
          <w:rFonts w:hint="eastAsia" w:eastAsia="仿宋_GB2312"/>
          <w:color w:val="auto"/>
          <w:sz w:val="32"/>
          <w:szCs w:val="32"/>
          <w:highlight w:val="none"/>
          <w:lang w:val="en-US" w:eastAsia="zh-CN"/>
        </w:rPr>
        <w:t>90</w:t>
      </w:r>
      <w:r>
        <w:rPr>
          <w:rFonts w:eastAsia="仿宋_GB2312"/>
          <w:color w:val="auto"/>
          <w:sz w:val="32"/>
          <w:szCs w:val="32"/>
          <w:highlight w:val="none"/>
        </w:rPr>
        <w:t>%</w:t>
      </w:r>
      <w:r>
        <w:rPr>
          <w:rFonts w:hint="eastAsia" w:eastAsia="仿宋_GB2312"/>
          <w:color w:val="auto"/>
          <w:sz w:val="32"/>
          <w:szCs w:val="32"/>
          <w:highlight w:val="none"/>
        </w:rPr>
        <w:t>，均达到要求</w:t>
      </w:r>
      <w:r>
        <w:rPr>
          <w:rFonts w:eastAsia="仿宋_GB2312"/>
          <w:color w:val="auto"/>
          <w:sz w:val="32"/>
          <w:szCs w:val="32"/>
          <w:highlight w:val="none"/>
        </w:rPr>
        <w:t>。</w:t>
      </w:r>
    </w:p>
    <w:p w14:paraId="0E0451E5">
      <w:pPr>
        <w:spacing w:line="560" w:lineRule="exact"/>
        <w:ind w:firstLine="640" w:firstLineChars="200"/>
        <w:rPr>
          <w:rFonts w:eastAsia="黑体"/>
          <w:sz w:val="32"/>
          <w:szCs w:val="32"/>
        </w:rPr>
      </w:pPr>
      <w:r>
        <w:rPr>
          <w:rFonts w:eastAsia="黑体"/>
          <w:sz w:val="32"/>
          <w:szCs w:val="32"/>
        </w:rPr>
        <w:t>三、偏离绩效目标的原因和下一步改进措施</w:t>
      </w:r>
    </w:p>
    <w:p w14:paraId="77D14644">
      <w:pPr>
        <w:spacing w:line="560" w:lineRule="exact"/>
        <w:ind w:firstLine="640" w:firstLineChars="200"/>
        <w:rPr>
          <w:rFonts w:eastAsia="仿宋_GB2312"/>
          <w:sz w:val="32"/>
          <w:szCs w:val="32"/>
        </w:rPr>
      </w:pPr>
      <w:r>
        <w:rPr>
          <w:rFonts w:eastAsia="仿宋_GB2312"/>
          <w:sz w:val="32"/>
          <w:szCs w:val="32"/>
        </w:rPr>
        <w:t>中央财政补助经费使用率</w:t>
      </w:r>
      <w:r>
        <w:rPr>
          <w:rFonts w:hint="eastAsia" w:eastAsia="仿宋_GB2312"/>
          <w:sz w:val="32"/>
          <w:szCs w:val="32"/>
        </w:rPr>
        <w:t>指标</w:t>
      </w:r>
      <w:r>
        <w:rPr>
          <w:rFonts w:eastAsia="仿宋_GB2312"/>
          <w:sz w:val="32"/>
          <w:szCs w:val="32"/>
        </w:rPr>
        <w:t>暂未完成主要原因：为及时保障无害化处理实施主体切身利益，我市采取每半年结算一次的补助方式，由市和区财政先行垫付，中央资金用于下半年或下年度，导致中央资金使用率未达到100%。</w:t>
      </w:r>
      <w:r>
        <w:rPr>
          <w:rFonts w:hint="eastAsia" w:eastAsia="仿宋_GB2312"/>
          <w:sz w:val="32"/>
          <w:szCs w:val="32"/>
        </w:rPr>
        <w:t>下一步，我市将指标各项目实施单位，进一步加快资金执行进度，提高资金使用效益。</w:t>
      </w:r>
    </w:p>
    <w:p w14:paraId="5DDC6DED">
      <w:pPr>
        <w:spacing w:line="560" w:lineRule="exact"/>
        <w:ind w:firstLine="640" w:firstLineChars="200"/>
        <w:rPr>
          <w:rFonts w:eastAsia="黑体"/>
          <w:sz w:val="32"/>
          <w:szCs w:val="32"/>
        </w:rPr>
      </w:pPr>
      <w:r>
        <w:rPr>
          <w:rFonts w:eastAsia="黑体"/>
          <w:sz w:val="32"/>
          <w:szCs w:val="32"/>
        </w:rPr>
        <w:t>四、绩效自评结果拟应用和公开情况</w:t>
      </w:r>
    </w:p>
    <w:p w14:paraId="67BE0315">
      <w:pPr>
        <w:spacing w:line="560" w:lineRule="exact"/>
        <w:ind w:firstLine="640" w:firstLineChars="200"/>
        <w:rPr>
          <w:rFonts w:eastAsia="仿宋_GB2312"/>
          <w:color w:val="000000"/>
          <w:sz w:val="32"/>
          <w:szCs w:val="32"/>
        </w:rPr>
      </w:pPr>
      <w:r>
        <w:rPr>
          <w:rFonts w:eastAsia="仿宋_GB2312"/>
          <w:color w:val="000000"/>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进行应用，向社会公开，自觉接受社会各界监督，从而在强化评价结果导向机制方面发挥更大作用，为改进资金项目管理以及完善相关政策提供重要依据。</w:t>
      </w:r>
    </w:p>
    <w:p w14:paraId="49AA28D0">
      <w:pPr>
        <w:spacing w:line="560" w:lineRule="exact"/>
        <w:ind w:firstLine="640" w:firstLineChars="200"/>
        <w:rPr>
          <w:rFonts w:eastAsia="黑体"/>
          <w:sz w:val="32"/>
          <w:szCs w:val="32"/>
        </w:rPr>
      </w:pPr>
      <w:r>
        <w:rPr>
          <w:rFonts w:eastAsia="黑体"/>
          <w:sz w:val="32"/>
          <w:szCs w:val="32"/>
        </w:rPr>
        <w:t>五、其他需要说明的问题</w:t>
      </w:r>
    </w:p>
    <w:p w14:paraId="4B91CA63">
      <w:pPr>
        <w:spacing w:line="560" w:lineRule="exact"/>
        <w:ind w:firstLine="640" w:firstLineChars="200"/>
        <w:rPr>
          <w:rFonts w:eastAsia="仿宋_GB2312"/>
          <w:color w:val="000000"/>
          <w:sz w:val="32"/>
          <w:szCs w:val="32"/>
        </w:rPr>
      </w:pPr>
      <w:r>
        <w:rPr>
          <w:rFonts w:eastAsia="仿宋_GB2312"/>
          <w:color w:val="000000"/>
          <w:sz w:val="32"/>
          <w:szCs w:val="32"/>
        </w:rPr>
        <w:t>无。</w:t>
      </w:r>
    </w:p>
    <w:p w14:paraId="5E850D03">
      <w:pPr>
        <w:spacing w:line="560" w:lineRule="exact"/>
        <w:ind w:firstLine="640" w:firstLineChars="200"/>
        <w:rPr>
          <w:rFonts w:eastAsia="仿宋_GB2312"/>
          <w:sz w:val="32"/>
          <w:szCs w:val="32"/>
        </w:rPr>
      </w:pPr>
    </w:p>
    <w:p w14:paraId="3A6CFEF2">
      <w:pPr>
        <w:spacing w:line="560" w:lineRule="exact"/>
        <w:ind w:firstLine="640" w:firstLineChars="200"/>
        <w:rPr>
          <w:rFonts w:eastAsia="仿宋_GB2312"/>
          <w:color w:val="000000"/>
          <w:sz w:val="32"/>
          <w:szCs w:val="32"/>
        </w:rPr>
      </w:pPr>
      <w:r>
        <w:rPr>
          <w:rFonts w:eastAsia="仿宋_GB2312"/>
          <w:color w:val="000000"/>
          <w:sz w:val="32"/>
          <w:szCs w:val="32"/>
        </w:rPr>
        <w:t>附</w:t>
      </w:r>
      <w:r>
        <w:rPr>
          <w:rFonts w:hint="eastAsia" w:eastAsia="仿宋_GB2312"/>
          <w:color w:val="000000"/>
          <w:sz w:val="32"/>
          <w:szCs w:val="32"/>
          <w:lang w:eastAsia="zh-CN"/>
        </w:rPr>
        <w:t>件</w:t>
      </w:r>
      <w:r>
        <w:rPr>
          <w:rFonts w:eastAsia="仿宋_GB2312"/>
          <w:color w:val="000000"/>
          <w:sz w:val="32"/>
          <w:szCs w:val="32"/>
        </w:rPr>
        <w:t>：</w:t>
      </w:r>
      <w:r>
        <w:rPr>
          <w:rFonts w:hint="eastAsia" w:eastAsia="仿宋_GB2312"/>
          <w:color w:val="000000"/>
          <w:sz w:val="32"/>
          <w:szCs w:val="32"/>
        </w:rPr>
        <w:t>天津市动物防疫等补助经费区域绩效目标自评表</w:t>
      </w:r>
    </w:p>
    <w:p w14:paraId="4106BC5E">
      <w:pPr>
        <w:rPr>
          <w:rFonts w:eastAsia="黑体"/>
          <w:bCs/>
          <w:sz w:val="30"/>
          <w:szCs w:val="44"/>
        </w:rPr>
      </w:pPr>
    </w:p>
    <w:p w14:paraId="4A8DFA00">
      <w:pPr>
        <w:rPr>
          <w:rFonts w:eastAsia="黑体"/>
          <w:bCs/>
          <w:sz w:val="30"/>
          <w:szCs w:val="44"/>
        </w:rPr>
      </w:pPr>
    </w:p>
    <w:p w14:paraId="63EF52CA"/>
    <w:p w14:paraId="7FF2DB03">
      <w:pPr>
        <w:rPr>
          <w:rFonts w:eastAsia="黑体"/>
          <w:bCs/>
          <w:sz w:val="30"/>
          <w:szCs w:val="44"/>
        </w:rPr>
      </w:pPr>
    </w:p>
    <w:p w14:paraId="14AC9751">
      <w:pPr>
        <w:rPr>
          <w:rFonts w:eastAsia="黑体"/>
          <w:bCs/>
          <w:sz w:val="30"/>
          <w:szCs w:val="44"/>
        </w:rPr>
      </w:pPr>
    </w:p>
    <w:p w14:paraId="1A518EC4">
      <w:pPr>
        <w:rPr>
          <w:rFonts w:eastAsia="黑体"/>
          <w:bCs/>
          <w:sz w:val="30"/>
          <w:szCs w:val="44"/>
        </w:rPr>
      </w:pPr>
    </w:p>
    <w:p w14:paraId="623E0C89">
      <w:pPr>
        <w:rPr>
          <w:rFonts w:eastAsia="黑体"/>
          <w:bCs/>
          <w:sz w:val="30"/>
          <w:szCs w:val="44"/>
        </w:rPr>
      </w:pPr>
    </w:p>
    <w:p w14:paraId="0340AAA1">
      <w:pPr>
        <w:rPr>
          <w:rFonts w:eastAsia="黑体"/>
          <w:bCs/>
          <w:sz w:val="30"/>
          <w:szCs w:val="44"/>
        </w:rPr>
      </w:pPr>
    </w:p>
    <w:p w14:paraId="39719C9B">
      <w:pPr>
        <w:rPr>
          <w:rFonts w:eastAsia="黑体"/>
          <w:bCs/>
          <w:color w:val="auto"/>
          <w:sz w:val="30"/>
          <w:szCs w:val="44"/>
        </w:rPr>
      </w:pPr>
      <w:r>
        <w:rPr>
          <w:rFonts w:eastAsia="黑体"/>
          <w:bCs/>
          <w:color w:val="auto"/>
          <w:sz w:val="30"/>
          <w:szCs w:val="44"/>
        </w:rPr>
        <w:t>附件4</w:t>
      </w:r>
    </w:p>
    <w:p w14:paraId="15137991">
      <w:pPr>
        <w:spacing w:line="560" w:lineRule="exact"/>
        <w:jc w:val="center"/>
        <w:rPr>
          <w:rFonts w:eastAsia="方正小标宋简体"/>
          <w:sz w:val="40"/>
          <w:szCs w:val="44"/>
        </w:rPr>
      </w:pPr>
    </w:p>
    <w:p w14:paraId="774F8535">
      <w:pPr>
        <w:spacing w:line="560" w:lineRule="exact"/>
        <w:jc w:val="center"/>
        <w:rPr>
          <w:rFonts w:eastAsia="方正小标宋简体"/>
          <w:sz w:val="40"/>
          <w:szCs w:val="44"/>
        </w:rPr>
      </w:pPr>
      <w:r>
        <w:rPr>
          <w:rFonts w:eastAsia="方正小标宋简体"/>
          <w:sz w:val="40"/>
          <w:szCs w:val="44"/>
        </w:rPr>
        <w:t>天津市农业生产和水利救灾资金转移支付</w:t>
      </w:r>
    </w:p>
    <w:p w14:paraId="5ADF774D">
      <w:pPr>
        <w:spacing w:line="560" w:lineRule="exact"/>
        <w:jc w:val="center"/>
        <w:rPr>
          <w:rFonts w:eastAsia="方正小标宋简体"/>
          <w:sz w:val="40"/>
          <w:szCs w:val="44"/>
        </w:rPr>
      </w:pPr>
      <w:r>
        <w:rPr>
          <w:rFonts w:eastAsia="方正小标宋简体"/>
          <w:sz w:val="40"/>
          <w:szCs w:val="44"/>
        </w:rPr>
        <w:t>2022年度绩效自评报告</w:t>
      </w:r>
    </w:p>
    <w:p w14:paraId="1CEFF33E">
      <w:pPr>
        <w:spacing w:line="540" w:lineRule="exact"/>
        <w:ind w:firstLine="640" w:firstLineChars="200"/>
        <w:rPr>
          <w:rFonts w:eastAsia="黑体"/>
          <w:bCs/>
          <w:sz w:val="32"/>
          <w:szCs w:val="32"/>
        </w:rPr>
      </w:pPr>
    </w:p>
    <w:p w14:paraId="66DF35D9">
      <w:pPr>
        <w:spacing w:line="540" w:lineRule="exact"/>
        <w:ind w:firstLine="640" w:firstLineChars="200"/>
        <w:rPr>
          <w:rFonts w:eastAsia="黑体"/>
          <w:bCs/>
          <w:sz w:val="32"/>
          <w:szCs w:val="32"/>
        </w:rPr>
      </w:pPr>
      <w:r>
        <w:rPr>
          <w:rFonts w:eastAsia="黑体"/>
          <w:bCs/>
          <w:sz w:val="32"/>
          <w:szCs w:val="32"/>
        </w:rPr>
        <w:t>一、绩效目标分解下达情况</w:t>
      </w:r>
    </w:p>
    <w:p w14:paraId="68AF3EF9">
      <w:pPr>
        <w:spacing w:line="540" w:lineRule="exact"/>
        <w:ind w:firstLine="643" w:firstLineChars="200"/>
        <w:rPr>
          <w:rFonts w:eastAsia="仿宋_GB2312"/>
          <w:sz w:val="32"/>
          <w:szCs w:val="32"/>
        </w:rPr>
      </w:pPr>
      <w:r>
        <w:rPr>
          <w:rFonts w:eastAsia="楷体_GB2312"/>
          <w:b/>
          <w:sz w:val="32"/>
          <w:szCs w:val="32"/>
        </w:rPr>
        <w:t>（一）中央下达预算和区域绩效目标情况。</w:t>
      </w:r>
      <w:r>
        <w:rPr>
          <w:rFonts w:eastAsia="仿宋_GB2312"/>
          <w:sz w:val="32"/>
          <w:szCs w:val="32"/>
        </w:rPr>
        <w:t>2022年，中央下达我市农业生产和水利救灾补助资金转移支付预算1000万元（农业生产部分），下达区域总体绩效目标为：“</w:t>
      </w:r>
      <w:r>
        <w:rPr>
          <w:rFonts w:hint="eastAsia" w:eastAsia="仿宋_GB2312"/>
          <w:sz w:val="32"/>
          <w:szCs w:val="32"/>
        </w:rPr>
        <w:t>通过使用救灾资金，开展“一喷三防”，防病虫、防“干热风、防早衰，增强灌浆强度，延长灌浆时间，提高粒重，争取夏粮丰收，确保全年农业生产稳定；</w:t>
      </w:r>
      <w:r>
        <w:rPr>
          <w:rFonts w:eastAsia="仿宋_GB2312"/>
          <w:sz w:val="32"/>
          <w:szCs w:val="32"/>
        </w:rPr>
        <w:t>支持农区蝗虫</w:t>
      </w:r>
      <w:r>
        <w:rPr>
          <w:rFonts w:hint="eastAsia" w:eastAsia="仿宋_GB2312"/>
          <w:sz w:val="32"/>
          <w:szCs w:val="32"/>
        </w:rPr>
        <w:t>、玉米重大病虫害等农作物重大病虫害疫情</w:t>
      </w:r>
      <w:r>
        <w:rPr>
          <w:rFonts w:eastAsia="仿宋_GB2312"/>
          <w:sz w:val="32"/>
          <w:szCs w:val="32"/>
        </w:rPr>
        <w:t>防控，</w:t>
      </w:r>
      <w:r>
        <w:rPr>
          <w:rFonts w:hint="eastAsia" w:eastAsia="仿宋_GB2312"/>
          <w:sz w:val="32"/>
          <w:szCs w:val="32"/>
        </w:rPr>
        <w:t>重发区域病虫害疫情得到有效控制，新发突发重大农业植物疫情有效处置，不出现大面积绝收成灾，有力保障粮食安全和农业生产安全”。</w:t>
      </w:r>
    </w:p>
    <w:p w14:paraId="0535FF73">
      <w:pPr>
        <w:spacing w:line="540" w:lineRule="exact"/>
        <w:ind w:firstLine="643" w:firstLineChars="200"/>
        <w:rPr>
          <w:rFonts w:eastAsia="仿宋_GB2312"/>
          <w:color w:val="000000"/>
          <w:sz w:val="32"/>
          <w:szCs w:val="32"/>
        </w:rPr>
      </w:pPr>
      <w:r>
        <w:rPr>
          <w:rFonts w:eastAsia="楷体_GB2312"/>
          <w:b/>
          <w:color w:val="000000"/>
          <w:sz w:val="32"/>
          <w:szCs w:val="32"/>
        </w:rPr>
        <w:t>（二）我市分解下达预算和绩效目标情况。</w:t>
      </w:r>
      <w:r>
        <w:rPr>
          <w:rFonts w:eastAsia="仿宋_GB2312"/>
          <w:color w:val="000000"/>
          <w:sz w:val="32"/>
          <w:szCs w:val="32"/>
        </w:rPr>
        <w:t>按照《财政部关于下达2022年农业生产和水利救灾资金预算（第</w:t>
      </w:r>
      <w:r>
        <w:rPr>
          <w:rFonts w:hint="eastAsia" w:eastAsia="仿宋_GB2312"/>
          <w:color w:val="000000"/>
          <w:sz w:val="32"/>
          <w:szCs w:val="32"/>
        </w:rPr>
        <w:t>二</w:t>
      </w:r>
      <w:r>
        <w:rPr>
          <w:rFonts w:eastAsia="仿宋_GB2312"/>
          <w:color w:val="000000"/>
          <w:sz w:val="32"/>
          <w:szCs w:val="32"/>
        </w:rPr>
        <w:t>批）的通知》（财农〔2022〕44号）</w:t>
      </w:r>
      <w:r>
        <w:rPr>
          <w:rFonts w:hint="eastAsia" w:eastAsia="仿宋_GB2312"/>
          <w:color w:val="000000"/>
          <w:sz w:val="32"/>
          <w:szCs w:val="32"/>
        </w:rPr>
        <w:t>、</w:t>
      </w:r>
      <w:r>
        <w:rPr>
          <w:rFonts w:eastAsia="仿宋_GB2312"/>
          <w:color w:val="000000"/>
          <w:sz w:val="32"/>
          <w:szCs w:val="32"/>
        </w:rPr>
        <w:t>《财政部关于下达2022年农业生产和水利救灾资金预算（第</w:t>
      </w:r>
      <w:r>
        <w:rPr>
          <w:rFonts w:hint="eastAsia" w:eastAsia="仿宋_GB2312"/>
          <w:color w:val="000000"/>
          <w:sz w:val="32"/>
          <w:szCs w:val="32"/>
        </w:rPr>
        <w:t>四</w:t>
      </w:r>
      <w:r>
        <w:rPr>
          <w:rFonts w:eastAsia="仿宋_GB2312"/>
          <w:color w:val="000000"/>
          <w:sz w:val="32"/>
          <w:szCs w:val="32"/>
        </w:rPr>
        <w:t>批）的通知》（财农〔2022〕57号）要求，结合我市实际，2021年5月</w:t>
      </w:r>
      <w:r>
        <w:rPr>
          <w:rFonts w:hint="eastAsia" w:eastAsia="仿宋_GB2312"/>
          <w:color w:val="000000"/>
          <w:sz w:val="32"/>
          <w:szCs w:val="32"/>
        </w:rPr>
        <w:t>和7月</w:t>
      </w:r>
      <w:r>
        <w:rPr>
          <w:rFonts w:eastAsia="仿宋_GB2312"/>
          <w:color w:val="000000"/>
          <w:sz w:val="32"/>
          <w:szCs w:val="32"/>
        </w:rPr>
        <w:t>，我市通过《天津市财政局关于下达中央财政2022年农业生产和水利救灾资金预算的通知》（津财农指〔2022〕</w:t>
      </w:r>
      <w:r>
        <w:rPr>
          <w:rFonts w:hint="eastAsia" w:eastAsia="仿宋_GB2312"/>
          <w:color w:val="000000"/>
          <w:sz w:val="32"/>
          <w:szCs w:val="32"/>
        </w:rPr>
        <w:t>1</w:t>
      </w:r>
      <w:r>
        <w:rPr>
          <w:rFonts w:eastAsia="仿宋_GB2312"/>
          <w:color w:val="000000"/>
          <w:sz w:val="32"/>
          <w:szCs w:val="32"/>
        </w:rPr>
        <w:t>1号）</w:t>
      </w:r>
      <w:r>
        <w:rPr>
          <w:rFonts w:hint="eastAsia" w:eastAsia="仿宋_GB2312"/>
          <w:color w:val="000000"/>
          <w:sz w:val="32"/>
          <w:szCs w:val="32"/>
        </w:rPr>
        <w:t>、</w:t>
      </w:r>
      <w:r>
        <w:rPr>
          <w:rFonts w:eastAsia="仿宋_GB2312"/>
          <w:color w:val="000000"/>
          <w:sz w:val="32"/>
          <w:szCs w:val="32"/>
        </w:rPr>
        <w:t>《天津市财政局关于下达</w:t>
      </w:r>
      <w:r>
        <w:rPr>
          <w:rFonts w:hint="eastAsia" w:eastAsia="仿宋_GB2312"/>
          <w:color w:val="000000"/>
          <w:sz w:val="32"/>
          <w:szCs w:val="32"/>
        </w:rPr>
        <w:t>2</w:t>
      </w:r>
      <w:r>
        <w:rPr>
          <w:rFonts w:eastAsia="仿宋_GB2312"/>
          <w:color w:val="000000"/>
          <w:sz w:val="32"/>
          <w:szCs w:val="32"/>
        </w:rPr>
        <w:t>022</w:t>
      </w:r>
      <w:r>
        <w:rPr>
          <w:rFonts w:hint="eastAsia" w:eastAsia="仿宋_GB2312"/>
          <w:color w:val="000000"/>
          <w:sz w:val="32"/>
          <w:szCs w:val="32"/>
        </w:rPr>
        <w:t>年</w:t>
      </w:r>
      <w:r>
        <w:rPr>
          <w:rFonts w:eastAsia="仿宋_GB2312"/>
          <w:color w:val="000000"/>
          <w:sz w:val="32"/>
          <w:szCs w:val="32"/>
        </w:rPr>
        <w:t>中央财</w:t>
      </w:r>
      <w:r>
        <w:rPr>
          <w:rFonts w:hint="eastAsia" w:eastAsia="仿宋_GB2312"/>
          <w:color w:val="000000"/>
          <w:sz w:val="32"/>
          <w:szCs w:val="32"/>
        </w:rPr>
        <w:t>政农村综合改革转移支付等</w:t>
      </w:r>
      <w:r>
        <w:rPr>
          <w:rFonts w:eastAsia="仿宋_GB2312"/>
          <w:color w:val="000000"/>
          <w:sz w:val="32"/>
          <w:szCs w:val="32"/>
        </w:rPr>
        <w:t>预算的通知》（津财农指〔2022〕21号），及时将中央财政资金和绩效目标等同步分解下达至各相关区，其中：蓟州区179万元、</w:t>
      </w:r>
      <w:r>
        <w:rPr>
          <w:rFonts w:hint="eastAsia" w:eastAsia="仿宋_GB2312"/>
          <w:color w:val="000000"/>
          <w:sz w:val="32"/>
          <w:szCs w:val="32"/>
        </w:rPr>
        <w:t>宝坻区1</w:t>
      </w:r>
      <w:r>
        <w:rPr>
          <w:rFonts w:eastAsia="仿宋_GB2312"/>
          <w:color w:val="000000"/>
          <w:sz w:val="32"/>
          <w:szCs w:val="32"/>
        </w:rPr>
        <w:t>60</w:t>
      </w:r>
      <w:r>
        <w:rPr>
          <w:rFonts w:hint="eastAsia" w:eastAsia="仿宋_GB2312"/>
          <w:color w:val="000000"/>
          <w:sz w:val="32"/>
          <w:szCs w:val="32"/>
        </w:rPr>
        <w:t>万元、</w:t>
      </w:r>
      <w:r>
        <w:rPr>
          <w:rFonts w:eastAsia="仿宋_GB2312"/>
          <w:color w:val="000000"/>
          <w:sz w:val="32"/>
          <w:szCs w:val="32"/>
        </w:rPr>
        <w:t>武清区188.8万元、宁河区124.08万元、静海区143.2万元、</w:t>
      </w:r>
      <w:r>
        <w:rPr>
          <w:rFonts w:hint="eastAsia" w:eastAsia="仿宋_GB2312"/>
          <w:color w:val="000000"/>
          <w:sz w:val="32"/>
          <w:szCs w:val="32"/>
        </w:rPr>
        <w:t>东丽区4万元、</w:t>
      </w:r>
      <w:r>
        <w:rPr>
          <w:rFonts w:eastAsia="仿宋_GB2312"/>
          <w:color w:val="000000"/>
          <w:sz w:val="32"/>
          <w:szCs w:val="32"/>
        </w:rPr>
        <w:t>西青区9.52万元、</w:t>
      </w:r>
      <w:r>
        <w:rPr>
          <w:rFonts w:hint="eastAsia" w:eastAsia="仿宋_GB2312"/>
          <w:color w:val="000000"/>
          <w:sz w:val="32"/>
          <w:szCs w:val="32"/>
        </w:rPr>
        <w:t>北辰区1</w:t>
      </w:r>
      <w:r>
        <w:rPr>
          <w:rFonts w:eastAsia="仿宋_GB2312"/>
          <w:color w:val="000000"/>
          <w:sz w:val="32"/>
          <w:szCs w:val="32"/>
        </w:rPr>
        <w:t>2.56</w:t>
      </w:r>
      <w:r>
        <w:rPr>
          <w:rFonts w:hint="eastAsia" w:eastAsia="仿宋_GB2312"/>
          <w:color w:val="000000"/>
          <w:sz w:val="32"/>
          <w:szCs w:val="32"/>
        </w:rPr>
        <w:t>万元、</w:t>
      </w:r>
      <w:r>
        <w:rPr>
          <w:rFonts w:eastAsia="仿宋_GB2312"/>
          <w:color w:val="000000"/>
          <w:sz w:val="32"/>
          <w:szCs w:val="32"/>
        </w:rPr>
        <w:t>滨海新区178.84万元。</w:t>
      </w:r>
    </w:p>
    <w:p w14:paraId="7EEB9B32">
      <w:pPr>
        <w:spacing w:line="540" w:lineRule="exact"/>
        <w:ind w:firstLine="640" w:firstLineChars="200"/>
        <w:rPr>
          <w:rFonts w:eastAsia="黑体"/>
          <w:bCs/>
          <w:sz w:val="32"/>
          <w:szCs w:val="32"/>
        </w:rPr>
      </w:pPr>
      <w:r>
        <w:rPr>
          <w:rFonts w:eastAsia="黑体"/>
          <w:bCs/>
          <w:sz w:val="32"/>
          <w:szCs w:val="32"/>
        </w:rPr>
        <w:t>二、绩效目标完成情况分析</w:t>
      </w:r>
    </w:p>
    <w:p w14:paraId="277F5298">
      <w:pPr>
        <w:spacing w:line="540" w:lineRule="exact"/>
        <w:ind w:firstLine="643" w:firstLineChars="200"/>
        <w:outlineLvl w:val="0"/>
        <w:rPr>
          <w:rFonts w:eastAsia="楷体_GB2312"/>
          <w:bCs/>
          <w:sz w:val="32"/>
          <w:szCs w:val="32"/>
        </w:rPr>
      </w:pPr>
      <w:r>
        <w:rPr>
          <w:rFonts w:eastAsia="楷体_GB2312"/>
          <w:b/>
          <w:bCs/>
          <w:sz w:val="32"/>
          <w:szCs w:val="32"/>
        </w:rPr>
        <w:t>（一）资金投入情况分析。</w:t>
      </w:r>
    </w:p>
    <w:p w14:paraId="17135111">
      <w:pPr>
        <w:spacing w:line="540" w:lineRule="exact"/>
        <w:ind w:firstLine="643" w:firstLineChars="200"/>
        <w:rPr>
          <w:rFonts w:eastAsia="仿宋_GB2312"/>
          <w:color w:val="000000"/>
          <w:sz w:val="32"/>
          <w:szCs w:val="32"/>
        </w:rPr>
      </w:pPr>
      <w:r>
        <w:rPr>
          <w:rFonts w:eastAsia="仿宋_GB2312"/>
          <w:b/>
          <w:color w:val="000000"/>
          <w:sz w:val="32"/>
          <w:szCs w:val="32"/>
        </w:rPr>
        <w:t>1.项目资金到位情况分析。</w:t>
      </w:r>
      <w:r>
        <w:rPr>
          <w:rFonts w:eastAsia="仿宋_GB2312"/>
          <w:color w:val="000000"/>
          <w:sz w:val="32"/>
          <w:szCs w:val="32"/>
        </w:rPr>
        <w:t>按照中央有关要求，为切实做好我市农作物重大病虫害监测防控工作，确保重大病虫不大面积暴发成灾、蝗虫不起飞为害，保障全市粮食生产安全，农产品质量安全和生态环境安全，202</w:t>
      </w:r>
      <w:r>
        <w:rPr>
          <w:rFonts w:hint="eastAsia" w:eastAsia="仿宋_GB2312"/>
          <w:color w:val="000000"/>
          <w:sz w:val="32"/>
          <w:szCs w:val="32"/>
          <w:lang w:val="en-US" w:eastAsia="zh-CN"/>
        </w:rPr>
        <w:t>2</w:t>
      </w:r>
      <w:r>
        <w:rPr>
          <w:rFonts w:eastAsia="仿宋_GB2312"/>
          <w:color w:val="000000"/>
          <w:sz w:val="32"/>
          <w:szCs w:val="32"/>
        </w:rPr>
        <w:t>年5月</w:t>
      </w:r>
      <w:r>
        <w:rPr>
          <w:rFonts w:hint="eastAsia" w:eastAsia="仿宋_GB2312"/>
          <w:color w:val="000000"/>
          <w:sz w:val="32"/>
          <w:szCs w:val="32"/>
        </w:rPr>
        <w:t>和7月</w:t>
      </w:r>
      <w:r>
        <w:rPr>
          <w:rFonts w:eastAsia="仿宋_GB2312"/>
          <w:color w:val="000000"/>
          <w:sz w:val="32"/>
          <w:szCs w:val="32"/>
        </w:rPr>
        <w:t>，我市将2022年中央财政农业生产和水利救灾资金预算</w:t>
      </w:r>
      <w:r>
        <w:rPr>
          <w:rFonts w:eastAsia="仿宋_GB2312"/>
          <w:sz w:val="32"/>
          <w:szCs w:val="32"/>
        </w:rPr>
        <w:t>1000</w:t>
      </w:r>
      <w:r>
        <w:rPr>
          <w:rFonts w:eastAsia="仿宋_GB2312"/>
          <w:color w:val="000000"/>
          <w:sz w:val="32"/>
          <w:szCs w:val="32"/>
        </w:rPr>
        <w:t>万元全部下达至各相关区，主要用于农作物重大病虫害监测防</w:t>
      </w:r>
      <w:r>
        <w:rPr>
          <w:rFonts w:hint="eastAsia" w:eastAsia="仿宋_GB2312"/>
          <w:color w:val="000000"/>
          <w:sz w:val="32"/>
          <w:szCs w:val="32"/>
        </w:rPr>
        <w:t>和小麦“一喷三防”工作</w:t>
      </w:r>
      <w:r>
        <w:rPr>
          <w:rFonts w:eastAsia="仿宋_GB2312"/>
          <w:color w:val="000000"/>
          <w:sz w:val="32"/>
          <w:szCs w:val="32"/>
        </w:rPr>
        <w:t>。</w:t>
      </w:r>
    </w:p>
    <w:p w14:paraId="29C7FE06">
      <w:pPr>
        <w:spacing w:line="540" w:lineRule="exact"/>
        <w:ind w:firstLine="643" w:firstLineChars="200"/>
        <w:rPr>
          <w:rFonts w:eastAsia="仿宋_GB2312"/>
          <w:color w:val="000000"/>
          <w:sz w:val="32"/>
          <w:szCs w:val="32"/>
          <w:highlight w:val="yellow"/>
        </w:rPr>
      </w:pPr>
      <w:r>
        <w:rPr>
          <w:rFonts w:eastAsia="仿宋_GB2312"/>
          <w:b/>
          <w:color w:val="000000"/>
          <w:sz w:val="32"/>
          <w:szCs w:val="32"/>
        </w:rPr>
        <w:t>2.项目资金执行情况分析。</w:t>
      </w:r>
      <w:r>
        <w:rPr>
          <w:rFonts w:eastAsia="仿宋_GB2312"/>
          <w:color w:val="000000"/>
          <w:sz w:val="32"/>
          <w:szCs w:val="32"/>
        </w:rPr>
        <w:t>年度资金总额1100万元，已执行9</w:t>
      </w:r>
      <w:r>
        <w:rPr>
          <w:rFonts w:hint="eastAsia" w:eastAsia="仿宋_GB2312"/>
          <w:color w:val="000000"/>
          <w:sz w:val="32"/>
          <w:szCs w:val="32"/>
          <w:lang w:val="en-US" w:eastAsia="zh-CN"/>
        </w:rPr>
        <w:t>99</w:t>
      </w:r>
      <w:r>
        <w:rPr>
          <w:rFonts w:eastAsia="仿宋_GB2312"/>
          <w:color w:val="000000"/>
          <w:sz w:val="32"/>
          <w:szCs w:val="32"/>
        </w:rPr>
        <w:t>万元、执行率</w:t>
      </w:r>
      <w:r>
        <w:rPr>
          <w:rFonts w:hint="eastAsia" w:eastAsia="仿宋_GB2312"/>
          <w:color w:val="000000"/>
          <w:sz w:val="32"/>
          <w:szCs w:val="32"/>
          <w:lang w:val="en-US" w:eastAsia="zh-CN"/>
        </w:rPr>
        <w:t>90.8</w:t>
      </w:r>
      <w:r>
        <w:rPr>
          <w:rFonts w:eastAsia="仿宋_GB2312"/>
          <w:color w:val="000000"/>
          <w:sz w:val="32"/>
          <w:szCs w:val="32"/>
        </w:rPr>
        <w:t>%，其中：中央财政资金1000万元、已执行</w:t>
      </w:r>
      <w:r>
        <w:rPr>
          <w:rFonts w:hint="eastAsia" w:eastAsia="仿宋_GB2312"/>
          <w:color w:val="000000"/>
          <w:sz w:val="32"/>
          <w:szCs w:val="32"/>
          <w:lang w:val="en-US" w:eastAsia="zh-CN"/>
        </w:rPr>
        <w:t>999</w:t>
      </w:r>
      <w:r>
        <w:rPr>
          <w:rFonts w:eastAsia="仿宋_GB2312"/>
          <w:color w:val="000000"/>
          <w:sz w:val="32"/>
          <w:szCs w:val="32"/>
        </w:rPr>
        <w:t>万元、执行率</w:t>
      </w:r>
      <w:r>
        <w:rPr>
          <w:rFonts w:hint="eastAsia" w:eastAsia="仿宋_GB2312"/>
          <w:color w:val="000000"/>
          <w:sz w:val="32"/>
          <w:szCs w:val="32"/>
          <w:lang w:val="en-US" w:eastAsia="zh-CN"/>
        </w:rPr>
        <w:t>99.9</w:t>
      </w:r>
      <w:r>
        <w:rPr>
          <w:rFonts w:eastAsia="仿宋_GB2312"/>
          <w:color w:val="000000"/>
          <w:sz w:val="32"/>
          <w:szCs w:val="32"/>
        </w:rPr>
        <w:t>%，地方资金100万元、</w:t>
      </w:r>
      <w:r>
        <w:rPr>
          <w:rFonts w:hint="eastAsia" w:eastAsia="仿宋_GB2312"/>
          <w:color w:val="000000"/>
          <w:sz w:val="32"/>
          <w:szCs w:val="32"/>
        </w:rPr>
        <w:t>未执行</w:t>
      </w:r>
      <w:r>
        <w:rPr>
          <w:rFonts w:eastAsia="仿宋_GB2312"/>
          <w:color w:val="000000"/>
          <w:sz w:val="32"/>
          <w:szCs w:val="32"/>
        </w:rPr>
        <w:t>。</w:t>
      </w:r>
    </w:p>
    <w:p w14:paraId="2E4CB0F6">
      <w:pPr>
        <w:spacing w:line="540" w:lineRule="exact"/>
        <w:ind w:firstLine="643" w:firstLineChars="200"/>
        <w:rPr>
          <w:rFonts w:eastAsia="仿宋_GB2312"/>
          <w:sz w:val="32"/>
          <w:szCs w:val="32"/>
        </w:rPr>
      </w:pPr>
      <w:r>
        <w:rPr>
          <w:rFonts w:eastAsia="仿宋_GB2312"/>
          <w:b/>
          <w:color w:val="000000"/>
          <w:sz w:val="32"/>
          <w:szCs w:val="32"/>
        </w:rPr>
        <w:t>3.项目资金管理情况分析。</w:t>
      </w:r>
      <w:r>
        <w:rPr>
          <w:rFonts w:eastAsia="仿宋_GB2312"/>
          <w:sz w:val="32"/>
          <w:szCs w:val="32"/>
        </w:rPr>
        <w:t>我市按照</w:t>
      </w:r>
      <w:r>
        <w:rPr>
          <w:rFonts w:eastAsia="仿宋_GB2312"/>
          <w:color w:val="000000"/>
          <w:sz w:val="32"/>
          <w:szCs w:val="32"/>
        </w:rPr>
        <w:t>《财政部关于下达2022年农业生产和水利救灾资金预算（第</w:t>
      </w:r>
      <w:r>
        <w:rPr>
          <w:rFonts w:hint="eastAsia" w:eastAsia="仿宋_GB2312"/>
          <w:color w:val="000000"/>
          <w:sz w:val="32"/>
          <w:szCs w:val="32"/>
        </w:rPr>
        <w:t>二</w:t>
      </w:r>
      <w:r>
        <w:rPr>
          <w:rFonts w:eastAsia="仿宋_GB2312"/>
          <w:color w:val="000000"/>
          <w:sz w:val="32"/>
          <w:szCs w:val="32"/>
        </w:rPr>
        <w:t>批）的通知》（财农〔2022〕44号）</w:t>
      </w:r>
      <w:r>
        <w:rPr>
          <w:rFonts w:hint="eastAsia" w:eastAsia="仿宋_GB2312"/>
          <w:color w:val="000000"/>
          <w:sz w:val="32"/>
          <w:szCs w:val="32"/>
        </w:rPr>
        <w:t>、</w:t>
      </w:r>
      <w:r>
        <w:rPr>
          <w:rFonts w:eastAsia="仿宋_GB2312"/>
          <w:color w:val="000000"/>
          <w:sz w:val="32"/>
          <w:szCs w:val="32"/>
        </w:rPr>
        <w:t>《财政部关于下达2022年农业生产和水利救灾资金预算（第</w:t>
      </w:r>
      <w:r>
        <w:rPr>
          <w:rFonts w:hint="eastAsia" w:eastAsia="仿宋_GB2312"/>
          <w:color w:val="000000"/>
          <w:sz w:val="32"/>
          <w:szCs w:val="32"/>
        </w:rPr>
        <w:t>四</w:t>
      </w:r>
      <w:r>
        <w:rPr>
          <w:rFonts w:eastAsia="仿宋_GB2312"/>
          <w:color w:val="000000"/>
          <w:sz w:val="32"/>
          <w:szCs w:val="32"/>
        </w:rPr>
        <w:t>批）的通知》（财农〔2022〕57号）</w:t>
      </w:r>
      <w:r>
        <w:rPr>
          <w:rFonts w:eastAsia="仿宋_GB2312"/>
          <w:sz w:val="32"/>
          <w:szCs w:val="32"/>
        </w:rPr>
        <w:t>要求，</w:t>
      </w:r>
      <w:r>
        <w:rPr>
          <w:rFonts w:hint="eastAsia" w:eastAsia="仿宋_GB2312"/>
          <w:sz w:val="32"/>
          <w:szCs w:val="32"/>
        </w:rPr>
        <w:t>通过</w:t>
      </w:r>
      <w:r>
        <w:rPr>
          <w:rFonts w:eastAsia="仿宋_GB2312"/>
          <w:color w:val="000000"/>
          <w:sz w:val="32"/>
          <w:szCs w:val="32"/>
        </w:rPr>
        <w:t>《天津市财政局关于下达中央财政2022年农业生产和水利救灾资金预算的通知》（津财农指〔2022〕</w:t>
      </w:r>
      <w:r>
        <w:rPr>
          <w:rFonts w:hint="eastAsia" w:eastAsia="仿宋_GB2312"/>
          <w:color w:val="000000"/>
          <w:sz w:val="32"/>
          <w:szCs w:val="32"/>
        </w:rPr>
        <w:t>1</w:t>
      </w:r>
      <w:r>
        <w:rPr>
          <w:rFonts w:eastAsia="仿宋_GB2312"/>
          <w:color w:val="000000"/>
          <w:sz w:val="32"/>
          <w:szCs w:val="32"/>
        </w:rPr>
        <w:t>1号）</w:t>
      </w:r>
      <w:r>
        <w:rPr>
          <w:rFonts w:hint="eastAsia" w:eastAsia="仿宋_GB2312"/>
          <w:color w:val="000000"/>
          <w:sz w:val="32"/>
          <w:szCs w:val="32"/>
        </w:rPr>
        <w:t>、</w:t>
      </w:r>
      <w:r>
        <w:rPr>
          <w:rFonts w:eastAsia="仿宋_GB2312"/>
          <w:color w:val="000000"/>
          <w:sz w:val="32"/>
          <w:szCs w:val="32"/>
        </w:rPr>
        <w:t>《天津市财政局关于下达</w:t>
      </w:r>
      <w:r>
        <w:rPr>
          <w:rFonts w:hint="eastAsia" w:eastAsia="仿宋_GB2312"/>
          <w:color w:val="000000"/>
          <w:sz w:val="32"/>
          <w:szCs w:val="32"/>
        </w:rPr>
        <w:t>2</w:t>
      </w:r>
      <w:r>
        <w:rPr>
          <w:rFonts w:eastAsia="仿宋_GB2312"/>
          <w:color w:val="000000"/>
          <w:sz w:val="32"/>
          <w:szCs w:val="32"/>
        </w:rPr>
        <w:t>022</w:t>
      </w:r>
      <w:r>
        <w:rPr>
          <w:rFonts w:hint="eastAsia" w:eastAsia="仿宋_GB2312"/>
          <w:color w:val="000000"/>
          <w:sz w:val="32"/>
          <w:szCs w:val="32"/>
        </w:rPr>
        <w:t>年</w:t>
      </w:r>
      <w:r>
        <w:rPr>
          <w:rFonts w:eastAsia="仿宋_GB2312"/>
          <w:color w:val="000000"/>
          <w:sz w:val="32"/>
          <w:szCs w:val="32"/>
        </w:rPr>
        <w:t>中央财</w:t>
      </w:r>
      <w:r>
        <w:rPr>
          <w:rFonts w:hint="eastAsia" w:eastAsia="仿宋_GB2312"/>
          <w:color w:val="000000"/>
          <w:sz w:val="32"/>
          <w:szCs w:val="32"/>
        </w:rPr>
        <w:t>政农村综合改革转移支付等</w:t>
      </w:r>
      <w:r>
        <w:rPr>
          <w:rFonts w:eastAsia="仿宋_GB2312"/>
          <w:color w:val="000000"/>
          <w:sz w:val="32"/>
          <w:szCs w:val="32"/>
        </w:rPr>
        <w:t>预算的通知》（津财农指〔2022〕21号），及时将中央财政资金和绩效目标等同步分解下达至各相关区</w:t>
      </w:r>
      <w:r>
        <w:rPr>
          <w:rFonts w:eastAsia="仿宋_GB2312"/>
          <w:sz w:val="32"/>
          <w:szCs w:val="32"/>
        </w:rPr>
        <w:t>。</w:t>
      </w:r>
    </w:p>
    <w:p w14:paraId="3AA03C13">
      <w:pPr>
        <w:spacing w:line="540" w:lineRule="exact"/>
        <w:ind w:firstLine="640" w:firstLineChars="200"/>
        <w:rPr>
          <w:rFonts w:eastAsia="仿宋_GB2312"/>
          <w:sz w:val="32"/>
          <w:szCs w:val="32"/>
          <w:highlight w:val="yellow"/>
        </w:rPr>
      </w:pPr>
      <w:r>
        <w:rPr>
          <w:rFonts w:eastAsia="仿宋_GB2312"/>
          <w:sz w:val="32"/>
          <w:szCs w:val="32"/>
        </w:rPr>
        <w:t>此外，为加强各级财政农业生产和水利救灾资金管理，应对农业生产和水利灾害带来的风险挑战，保障人民生命财产安全，我市结合实际印发了《天津市财政局 天津市农业农村委员会 天津市水务局关于加强农业生产和水利救灾资金管理的通知》（津财农</w:t>
      </w:r>
      <w:r>
        <w:rPr>
          <w:rFonts w:eastAsia="仿宋_GB2312"/>
          <w:color w:val="FF0000"/>
          <w:sz w:val="32"/>
          <w:szCs w:val="32"/>
        </w:rPr>
        <w:t>〔2021〕112号</w:t>
      </w:r>
      <w:r>
        <w:rPr>
          <w:rFonts w:eastAsia="仿宋_GB2312"/>
          <w:sz w:val="32"/>
          <w:szCs w:val="32"/>
        </w:rPr>
        <w:t>），分别从统筹救灾资金使用、强化救灾资金管理、加强救灾资金绩效三个方面对各相关区管理使用资金提出了具体要求。</w:t>
      </w:r>
    </w:p>
    <w:p w14:paraId="7E257A9E">
      <w:pPr>
        <w:spacing w:line="540" w:lineRule="exact"/>
        <w:ind w:firstLine="643" w:firstLineChars="200"/>
        <w:outlineLvl w:val="0"/>
        <w:rPr>
          <w:rFonts w:eastAsia="仿宋_GB2312"/>
          <w:sz w:val="32"/>
          <w:szCs w:val="32"/>
        </w:rPr>
      </w:pPr>
      <w:r>
        <w:rPr>
          <w:rFonts w:eastAsia="楷体_GB2312"/>
          <w:b/>
          <w:bCs/>
          <w:sz w:val="32"/>
          <w:szCs w:val="32"/>
        </w:rPr>
        <w:t>（二）总体绩效目标完成情况分析。</w:t>
      </w:r>
      <w:r>
        <w:rPr>
          <w:rFonts w:eastAsia="仿宋_GB2312"/>
          <w:color w:val="000000"/>
          <w:sz w:val="32"/>
          <w:szCs w:val="32"/>
        </w:rPr>
        <w:t>202</w:t>
      </w:r>
      <w:r>
        <w:rPr>
          <w:rFonts w:hint="eastAsia" w:eastAsia="仿宋_GB2312"/>
          <w:color w:val="000000"/>
          <w:sz w:val="32"/>
          <w:szCs w:val="32"/>
          <w:lang w:val="en-US" w:eastAsia="zh-CN"/>
        </w:rPr>
        <w:t>2</w:t>
      </w:r>
      <w:r>
        <w:rPr>
          <w:rFonts w:eastAsia="仿宋_GB2312"/>
          <w:color w:val="000000"/>
          <w:sz w:val="32"/>
          <w:szCs w:val="32"/>
        </w:rPr>
        <w:t>年财政部下达我市年度总体绩效目标为：“</w:t>
      </w:r>
      <w:r>
        <w:rPr>
          <w:rFonts w:hint="eastAsia" w:eastAsia="仿宋_GB2312"/>
          <w:sz w:val="32"/>
          <w:szCs w:val="32"/>
        </w:rPr>
        <w:t>通过使用救灾资金，开展‘一喷三防‘，防病虫、防干热风、防早衰，增强灌浆强度，延长灌浆时间，提高粒重，争取夏粮丰收，确保全年农业生产稳定；</w:t>
      </w:r>
      <w:r>
        <w:rPr>
          <w:rFonts w:eastAsia="仿宋_GB2312"/>
          <w:sz w:val="32"/>
          <w:szCs w:val="32"/>
        </w:rPr>
        <w:t>支持农区蝗虫</w:t>
      </w:r>
      <w:r>
        <w:rPr>
          <w:rFonts w:hint="eastAsia" w:eastAsia="仿宋_GB2312"/>
          <w:sz w:val="32"/>
          <w:szCs w:val="32"/>
        </w:rPr>
        <w:t>、玉米重大病虫害等农作物重大病虫害疫情</w:t>
      </w:r>
      <w:r>
        <w:rPr>
          <w:rFonts w:eastAsia="仿宋_GB2312"/>
          <w:sz w:val="32"/>
          <w:szCs w:val="32"/>
        </w:rPr>
        <w:t>防控，</w:t>
      </w:r>
      <w:r>
        <w:rPr>
          <w:rFonts w:hint="eastAsia" w:eastAsia="仿宋_GB2312"/>
          <w:sz w:val="32"/>
          <w:szCs w:val="32"/>
        </w:rPr>
        <w:t>重发区域病虫害疫情得到有效控制，新发突发重大农业植物疫情有效处置，不出现大面积绝收成灾，有力保障粮食安全和农业生产安全</w:t>
      </w:r>
      <w:r>
        <w:rPr>
          <w:rFonts w:eastAsia="仿宋_GB2312"/>
          <w:color w:val="000000"/>
          <w:sz w:val="32"/>
          <w:szCs w:val="32"/>
        </w:rPr>
        <w:t>”，</w:t>
      </w:r>
      <w:r>
        <w:rPr>
          <w:rFonts w:eastAsia="仿宋_GB2312"/>
          <w:sz w:val="32"/>
          <w:szCs w:val="32"/>
        </w:rPr>
        <w:t>上述目标截至目前已全部完成。全年实际完成情如下：1.</w:t>
      </w:r>
      <w:r>
        <w:rPr>
          <w:rFonts w:hint="eastAsia" w:eastAsia="仿宋_GB2312"/>
          <w:sz w:val="32"/>
          <w:szCs w:val="32"/>
        </w:rPr>
        <w:t xml:space="preserve"> 通过实施小麦“一喷三防”，防治小麦面积1</w:t>
      </w:r>
      <w:r>
        <w:rPr>
          <w:rFonts w:eastAsia="仿宋_GB2312"/>
          <w:sz w:val="32"/>
          <w:szCs w:val="32"/>
        </w:rPr>
        <w:t>53</w:t>
      </w:r>
      <w:r>
        <w:rPr>
          <w:rFonts w:hint="eastAsia" w:eastAsia="仿宋_GB2312"/>
          <w:sz w:val="32"/>
          <w:szCs w:val="32"/>
        </w:rPr>
        <w:t>万亩，有效增强小麦灌浆强度，延长灌浆时间，促进小麦生产稳定，稳定了粮食生产</w:t>
      </w:r>
      <w:r>
        <w:rPr>
          <w:rFonts w:eastAsia="仿宋_GB2312"/>
          <w:sz w:val="32"/>
          <w:szCs w:val="32"/>
        </w:rPr>
        <w:t>。</w:t>
      </w:r>
      <w:r>
        <w:rPr>
          <w:rFonts w:hint="eastAsia" w:eastAsia="仿宋_GB2312"/>
          <w:sz w:val="32"/>
          <w:szCs w:val="32"/>
        </w:rPr>
        <w:t>2</w:t>
      </w:r>
      <w:r>
        <w:rPr>
          <w:rFonts w:eastAsia="仿宋_GB2312"/>
          <w:sz w:val="32"/>
          <w:szCs w:val="32"/>
        </w:rPr>
        <w:t>.通过项目实施有效的支持了全市历年重点蝗虫防治区（滨海新区-大港北大港水库、宁河区七里海和静海区独流减河）蝗虫防治工作，蝗虫未形成起飞危害，未出现大面积绝收成灾情况，环渤海蝗区联防联控稳步推进，有力保障了全市粮食安全和农业丰收</w:t>
      </w:r>
      <w:r>
        <w:rPr>
          <w:rFonts w:hint="eastAsia" w:eastAsia="仿宋_GB2312"/>
          <w:sz w:val="32"/>
          <w:szCs w:val="32"/>
        </w:rPr>
        <w:t>。</w:t>
      </w:r>
      <w:r>
        <w:rPr>
          <w:rFonts w:eastAsia="仿宋_GB2312"/>
          <w:sz w:val="32"/>
          <w:szCs w:val="32"/>
        </w:rPr>
        <w:t xml:space="preserve"> </w:t>
      </w:r>
    </w:p>
    <w:p w14:paraId="658F2A7D">
      <w:pPr>
        <w:spacing w:line="540" w:lineRule="exact"/>
        <w:ind w:firstLine="643" w:firstLineChars="200"/>
        <w:outlineLvl w:val="0"/>
        <w:rPr>
          <w:rFonts w:eastAsia="楷体_GB2312"/>
          <w:b/>
          <w:bCs/>
          <w:sz w:val="32"/>
          <w:szCs w:val="32"/>
        </w:rPr>
      </w:pPr>
      <w:r>
        <w:rPr>
          <w:rFonts w:eastAsia="楷体_GB2312"/>
          <w:b/>
          <w:bCs/>
          <w:sz w:val="32"/>
          <w:szCs w:val="32"/>
        </w:rPr>
        <w:t>（三）绩效指标完成情况分析。</w:t>
      </w:r>
    </w:p>
    <w:p w14:paraId="7E764994">
      <w:pPr>
        <w:spacing w:line="540" w:lineRule="exact"/>
        <w:ind w:firstLine="640" w:firstLineChars="200"/>
        <w:rPr>
          <w:rFonts w:eastAsia="仿宋_GB2312"/>
          <w:b/>
          <w:sz w:val="32"/>
          <w:szCs w:val="32"/>
        </w:rPr>
      </w:pPr>
      <w:r>
        <w:rPr>
          <w:rFonts w:eastAsia="仿宋_GB2312"/>
          <w:sz w:val="32"/>
          <w:szCs w:val="32"/>
        </w:rPr>
        <w:t>全年共下达绩效指标22个，</w:t>
      </w:r>
      <w:r>
        <w:rPr>
          <w:rFonts w:hint="eastAsia" w:eastAsia="仿宋_GB2312"/>
          <w:sz w:val="32"/>
          <w:szCs w:val="32"/>
        </w:rPr>
        <w:t>全部完成</w:t>
      </w:r>
      <w:r>
        <w:rPr>
          <w:rFonts w:eastAsia="仿宋_GB2312"/>
          <w:sz w:val="32"/>
          <w:szCs w:val="32"/>
        </w:rPr>
        <w:t>。</w:t>
      </w:r>
    </w:p>
    <w:p w14:paraId="4E7C8823">
      <w:pPr>
        <w:spacing w:line="540" w:lineRule="exact"/>
        <w:ind w:firstLine="640" w:firstLineChars="200"/>
        <w:rPr>
          <w:rFonts w:eastAsia="仿宋_GB2312"/>
          <w:sz w:val="32"/>
          <w:szCs w:val="32"/>
        </w:rPr>
      </w:pPr>
      <w:r>
        <w:rPr>
          <w:rFonts w:eastAsia="仿宋_GB2312"/>
          <w:sz w:val="32"/>
          <w:szCs w:val="32"/>
        </w:rPr>
        <w:t>1.产出指标13个，全部完成。</w:t>
      </w:r>
    </w:p>
    <w:p w14:paraId="31BC699A">
      <w:pPr>
        <w:spacing w:line="540" w:lineRule="exact"/>
        <w:ind w:firstLine="640" w:firstLineChars="200"/>
        <w:rPr>
          <w:rFonts w:eastAsia="仿宋_GB2312"/>
          <w:sz w:val="32"/>
          <w:szCs w:val="32"/>
        </w:rPr>
      </w:pPr>
      <w:r>
        <w:rPr>
          <w:rFonts w:eastAsia="仿宋_GB2312"/>
          <w:sz w:val="32"/>
          <w:szCs w:val="32"/>
        </w:rPr>
        <w:t>一是数量指标5个。</w:t>
      </w:r>
      <w:r>
        <w:rPr>
          <w:rFonts w:hint="eastAsia" w:eastAsia="仿宋_GB2312"/>
          <w:sz w:val="32"/>
          <w:szCs w:val="32"/>
        </w:rPr>
        <w:t>完成小麦“一喷三防”实施面积1</w:t>
      </w:r>
      <w:r>
        <w:rPr>
          <w:rFonts w:eastAsia="仿宋_GB2312"/>
          <w:sz w:val="32"/>
          <w:szCs w:val="32"/>
        </w:rPr>
        <w:t>53</w:t>
      </w:r>
      <w:r>
        <w:rPr>
          <w:rFonts w:hint="eastAsia" w:eastAsia="仿宋_GB2312"/>
          <w:sz w:val="32"/>
          <w:szCs w:val="32"/>
        </w:rPr>
        <w:t>万亩次、蝗虫监测与防控面积1</w:t>
      </w:r>
      <w:r>
        <w:rPr>
          <w:rFonts w:eastAsia="仿宋_GB2312"/>
          <w:sz w:val="32"/>
          <w:szCs w:val="32"/>
        </w:rPr>
        <w:t>5.46</w:t>
      </w:r>
      <w:r>
        <w:rPr>
          <w:rFonts w:hint="eastAsia" w:eastAsia="仿宋_GB2312"/>
          <w:sz w:val="32"/>
          <w:szCs w:val="32"/>
        </w:rPr>
        <w:t>万亩次、苹果蠹蛾防控面积0</w:t>
      </w:r>
      <w:r>
        <w:rPr>
          <w:rFonts w:eastAsia="仿宋_GB2312"/>
          <w:sz w:val="32"/>
          <w:szCs w:val="32"/>
        </w:rPr>
        <w:t>.46</w:t>
      </w:r>
      <w:r>
        <w:rPr>
          <w:rFonts w:hint="eastAsia" w:eastAsia="仿宋_GB2312"/>
          <w:sz w:val="32"/>
          <w:szCs w:val="32"/>
        </w:rPr>
        <w:t>万亩、玉米绿色防控面积1</w:t>
      </w:r>
      <w:r>
        <w:rPr>
          <w:rFonts w:eastAsia="仿宋_GB2312"/>
          <w:sz w:val="32"/>
          <w:szCs w:val="32"/>
        </w:rPr>
        <w:t>0</w:t>
      </w:r>
      <w:r>
        <w:rPr>
          <w:rFonts w:hint="eastAsia" w:eastAsia="仿宋_GB2312"/>
          <w:sz w:val="32"/>
          <w:szCs w:val="32"/>
        </w:rPr>
        <w:t>万亩。</w:t>
      </w:r>
    </w:p>
    <w:p w14:paraId="03276E52">
      <w:pPr>
        <w:spacing w:line="540" w:lineRule="exact"/>
        <w:ind w:firstLine="640" w:firstLineChars="200"/>
        <w:rPr>
          <w:rFonts w:eastAsia="仿宋_GB2312"/>
          <w:color w:val="000000"/>
          <w:sz w:val="32"/>
          <w:szCs w:val="32"/>
        </w:rPr>
      </w:pPr>
      <w:r>
        <w:rPr>
          <w:rFonts w:eastAsia="仿宋_GB2312"/>
          <w:color w:val="000000"/>
          <w:sz w:val="32"/>
          <w:szCs w:val="32"/>
        </w:rPr>
        <w:t>二是质量指标4个。</w:t>
      </w:r>
      <w:r>
        <w:rPr>
          <w:rFonts w:hint="eastAsia" w:eastAsia="仿宋_GB2312"/>
          <w:color w:val="000000"/>
          <w:sz w:val="32"/>
          <w:szCs w:val="32"/>
        </w:rPr>
        <w:t>用于“一喷三防”相关支出达到1</w:t>
      </w:r>
      <w:r>
        <w:rPr>
          <w:rFonts w:eastAsia="仿宋_GB2312"/>
          <w:color w:val="000000"/>
          <w:sz w:val="32"/>
          <w:szCs w:val="32"/>
        </w:rPr>
        <w:t>00%</w:t>
      </w:r>
      <w:r>
        <w:rPr>
          <w:rFonts w:hint="eastAsia" w:eastAsia="仿宋_GB2312"/>
          <w:color w:val="000000"/>
          <w:sz w:val="32"/>
          <w:szCs w:val="32"/>
        </w:rPr>
        <w:t>，“一喷三防”防控效果有效延长灌浆期，遏制病虫暴发流行，增加粒重，重大病虫害防控效果有效遏制暴发流行成灾，重大病虫害统防统治覆盖率达到</w:t>
      </w:r>
      <w:r>
        <w:rPr>
          <w:rFonts w:hint="eastAsia" w:eastAsia="仿宋_GB2312"/>
          <w:color w:val="000000"/>
          <w:sz w:val="32"/>
          <w:szCs w:val="32"/>
          <w:lang w:val="en-US" w:eastAsia="zh-CN"/>
        </w:rPr>
        <w:t>43%</w:t>
      </w:r>
      <w:r>
        <w:rPr>
          <w:rFonts w:eastAsia="仿宋_GB2312"/>
          <w:color w:val="000000"/>
          <w:sz w:val="32"/>
          <w:szCs w:val="32"/>
        </w:rPr>
        <w:t>。</w:t>
      </w:r>
    </w:p>
    <w:p w14:paraId="00D17574">
      <w:pPr>
        <w:spacing w:line="540" w:lineRule="exact"/>
        <w:ind w:firstLine="640" w:firstLineChars="200"/>
        <w:rPr>
          <w:rFonts w:eastAsia="仿宋_GB2312"/>
          <w:sz w:val="32"/>
          <w:szCs w:val="32"/>
        </w:rPr>
      </w:pPr>
      <w:r>
        <w:rPr>
          <w:rFonts w:eastAsia="仿宋_GB2312"/>
          <w:sz w:val="32"/>
          <w:szCs w:val="32"/>
        </w:rPr>
        <w:t>三是时效指标3个。救灾资金在1个月内下拨至区级，重大病虫防控时效未超过有效防控时限，及时完成病虫害绿色防控示范区建设，病虫害信息发布及时率100%。</w:t>
      </w:r>
    </w:p>
    <w:p w14:paraId="3C81B48A">
      <w:pPr>
        <w:spacing w:line="540" w:lineRule="exact"/>
        <w:ind w:firstLine="640" w:firstLineChars="200"/>
        <w:rPr>
          <w:rFonts w:eastAsia="仿宋_GB2312"/>
          <w:sz w:val="32"/>
          <w:szCs w:val="32"/>
        </w:rPr>
      </w:pPr>
      <w:r>
        <w:rPr>
          <w:rFonts w:eastAsia="仿宋_GB2312"/>
          <w:sz w:val="32"/>
          <w:szCs w:val="32"/>
        </w:rPr>
        <w:t>四是成本指标2个。</w:t>
      </w:r>
      <w:r>
        <w:rPr>
          <w:rFonts w:hint="eastAsia" w:eastAsia="仿宋_GB2312"/>
          <w:sz w:val="32"/>
          <w:szCs w:val="32"/>
        </w:rPr>
        <w:t>严格执行资金预算管理，</w:t>
      </w:r>
      <w:r>
        <w:rPr>
          <w:rFonts w:eastAsia="仿宋_GB2312"/>
          <w:sz w:val="32"/>
          <w:szCs w:val="32"/>
        </w:rPr>
        <w:t>采购物资或服务价格未超过市场价格。</w:t>
      </w:r>
    </w:p>
    <w:p w14:paraId="51833689">
      <w:pPr>
        <w:spacing w:line="540" w:lineRule="exact"/>
        <w:ind w:firstLine="640" w:firstLineChars="200"/>
        <w:rPr>
          <w:rFonts w:eastAsia="仿宋_GB2312"/>
          <w:sz w:val="32"/>
          <w:szCs w:val="32"/>
        </w:rPr>
      </w:pPr>
      <w:r>
        <w:rPr>
          <w:rFonts w:eastAsia="仿宋_GB2312"/>
          <w:sz w:val="32"/>
          <w:szCs w:val="32"/>
        </w:rPr>
        <w:t>2.效益指标7个，全部完成。</w:t>
      </w:r>
    </w:p>
    <w:p w14:paraId="79AFC0DE">
      <w:pPr>
        <w:spacing w:line="540" w:lineRule="exact"/>
        <w:ind w:firstLine="640" w:firstLineChars="200"/>
        <w:rPr>
          <w:rFonts w:eastAsia="仿宋_GB2312"/>
          <w:sz w:val="32"/>
          <w:szCs w:val="32"/>
        </w:rPr>
      </w:pPr>
      <w:r>
        <w:rPr>
          <w:rFonts w:eastAsia="仿宋_GB2312"/>
          <w:sz w:val="32"/>
          <w:szCs w:val="32"/>
        </w:rPr>
        <w:t>一是</w:t>
      </w:r>
      <w:r>
        <w:rPr>
          <w:rFonts w:hint="eastAsia" w:eastAsia="仿宋_GB2312"/>
          <w:sz w:val="32"/>
          <w:szCs w:val="32"/>
        </w:rPr>
        <w:t>经济效益指标1个。受灾地区主要农作物单产无减产。</w:t>
      </w:r>
    </w:p>
    <w:p w14:paraId="6A124293">
      <w:pPr>
        <w:spacing w:line="540" w:lineRule="exact"/>
        <w:ind w:firstLine="640" w:firstLineChars="200"/>
        <w:rPr>
          <w:rFonts w:eastAsia="仿宋_GB2312"/>
          <w:sz w:val="32"/>
          <w:szCs w:val="32"/>
        </w:rPr>
      </w:pPr>
      <w:r>
        <w:rPr>
          <w:rFonts w:hint="eastAsia" w:eastAsia="仿宋_GB2312"/>
          <w:sz w:val="32"/>
          <w:szCs w:val="32"/>
        </w:rPr>
        <w:t>二是</w:t>
      </w:r>
      <w:r>
        <w:rPr>
          <w:rFonts w:eastAsia="仿宋_GB2312"/>
          <w:sz w:val="32"/>
          <w:szCs w:val="32"/>
        </w:rPr>
        <w:t>社会效益指标2个。资金使用无重大违纪问题</w:t>
      </w:r>
      <w:r>
        <w:rPr>
          <w:rFonts w:hint="eastAsia" w:eastAsia="仿宋_GB2312"/>
          <w:sz w:val="32"/>
          <w:szCs w:val="32"/>
        </w:rPr>
        <w:t>；未出现农作物大范围成灾绝收</w:t>
      </w:r>
      <w:r>
        <w:rPr>
          <w:rFonts w:eastAsia="仿宋_GB2312"/>
          <w:sz w:val="32"/>
          <w:szCs w:val="32"/>
        </w:rPr>
        <w:t>。</w:t>
      </w:r>
    </w:p>
    <w:p w14:paraId="71E49C7D">
      <w:pPr>
        <w:spacing w:line="54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是生态效益指标1个。</w:t>
      </w:r>
      <w:r>
        <w:rPr>
          <w:rFonts w:hint="eastAsia" w:eastAsia="仿宋_GB2312"/>
          <w:sz w:val="32"/>
          <w:szCs w:val="32"/>
        </w:rPr>
        <w:t>受灾地区生产能力得到及时恢复</w:t>
      </w:r>
      <w:r>
        <w:rPr>
          <w:rFonts w:eastAsia="仿宋_GB2312"/>
          <w:sz w:val="32"/>
          <w:szCs w:val="32"/>
        </w:rPr>
        <w:t>。</w:t>
      </w:r>
    </w:p>
    <w:p w14:paraId="1A68C05C">
      <w:pPr>
        <w:spacing w:line="540" w:lineRule="exact"/>
        <w:ind w:firstLine="640" w:firstLineChars="200"/>
        <w:rPr>
          <w:rFonts w:eastAsia="仿宋_GB2312"/>
          <w:sz w:val="32"/>
          <w:szCs w:val="32"/>
        </w:rPr>
      </w:pPr>
      <w:r>
        <w:rPr>
          <w:rFonts w:hint="eastAsia" w:eastAsia="仿宋_GB2312"/>
          <w:sz w:val="32"/>
          <w:szCs w:val="32"/>
          <w:lang w:eastAsia="zh-CN"/>
        </w:rPr>
        <w:t>四</w:t>
      </w:r>
      <w:r>
        <w:rPr>
          <w:rFonts w:eastAsia="仿宋_GB2312"/>
          <w:sz w:val="32"/>
          <w:szCs w:val="32"/>
        </w:rPr>
        <w:t>是可持续影响指标3个。</w:t>
      </w:r>
      <w:r>
        <w:rPr>
          <w:rFonts w:hint="eastAsia" w:eastAsia="仿宋_GB2312"/>
          <w:sz w:val="32"/>
          <w:szCs w:val="32"/>
        </w:rPr>
        <w:t>农民粮食生产积极保持稳定，全年粮食播种面积实现稳定增长；“一喷三防”</w:t>
      </w:r>
      <w:r>
        <w:rPr>
          <w:rFonts w:hint="eastAsia" w:eastAsia="仿宋_GB2312"/>
          <w:sz w:val="32"/>
          <w:szCs w:val="32"/>
          <w:lang w:eastAsia="zh-CN"/>
        </w:rPr>
        <w:t>完成</w:t>
      </w:r>
      <w:r>
        <w:rPr>
          <w:rFonts w:hint="eastAsia" w:eastAsia="仿宋_GB2312"/>
          <w:sz w:val="32"/>
          <w:szCs w:val="32"/>
          <w:lang w:val="en-US" w:eastAsia="zh-CN"/>
        </w:rPr>
        <w:t>160.2万亩，主要农作物</w:t>
      </w:r>
      <w:r>
        <w:rPr>
          <w:rFonts w:hint="eastAsia" w:eastAsia="仿宋_GB2312"/>
          <w:sz w:val="32"/>
          <w:szCs w:val="32"/>
        </w:rPr>
        <w:t>统防统治覆盖率达到</w:t>
      </w:r>
      <w:r>
        <w:rPr>
          <w:rFonts w:hint="eastAsia" w:eastAsia="仿宋_GB2312"/>
          <w:sz w:val="32"/>
          <w:szCs w:val="32"/>
          <w:lang w:val="en-US" w:eastAsia="zh-CN"/>
        </w:rPr>
        <w:t>58.67</w:t>
      </w:r>
      <w:r>
        <w:rPr>
          <w:rFonts w:eastAsia="仿宋_GB2312"/>
          <w:sz w:val="32"/>
          <w:szCs w:val="32"/>
        </w:rPr>
        <w:t>%</w:t>
      </w:r>
      <w:r>
        <w:rPr>
          <w:rFonts w:hint="eastAsia" w:eastAsia="仿宋_GB2312"/>
          <w:sz w:val="32"/>
          <w:szCs w:val="32"/>
        </w:rPr>
        <w:t>；重大病虫疫情灾情监测预警能力稳定高效。</w:t>
      </w:r>
    </w:p>
    <w:p w14:paraId="7AEC5948">
      <w:pPr>
        <w:spacing w:line="540" w:lineRule="exact"/>
        <w:ind w:firstLine="640" w:firstLineChars="200"/>
        <w:rPr>
          <w:rFonts w:eastAsia="仿宋_GB2312"/>
          <w:sz w:val="32"/>
          <w:szCs w:val="32"/>
          <w:highlight w:val="yellow"/>
        </w:rPr>
      </w:pPr>
      <w:r>
        <w:rPr>
          <w:rFonts w:eastAsia="仿宋_GB2312"/>
          <w:sz w:val="32"/>
          <w:szCs w:val="32"/>
        </w:rPr>
        <w:t>3.满意度指标2个。</w:t>
      </w:r>
      <w:r>
        <w:rPr>
          <w:rFonts w:hint="eastAsia" w:eastAsia="仿宋_GB2312"/>
          <w:sz w:val="32"/>
          <w:szCs w:val="32"/>
        </w:rPr>
        <w:t>指导服务对象满意度达到</w:t>
      </w:r>
      <w:r>
        <w:rPr>
          <w:rFonts w:hint="eastAsia" w:eastAsia="仿宋_GB2312"/>
          <w:sz w:val="32"/>
          <w:szCs w:val="32"/>
          <w:lang w:val="en-US" w:eastAsia="zh-CN"/>
        </w:rPr>
        <w:t>85</w:t>
      </w:r>
      <w:r>
        <w:rPr>
          <w:rFonts w:eastAsia="仿宋_GB2312"/>
          <w:sz w:val="32"/>
          <w:szCs w:val="32"/>
        </w:rPr>
        <w:t>%</w:t>
      </w:r>
      <w:r>
        <w:rPr>
          <w:rFonts w:hint="eastAsia" w:eastAsia="仿宋_GB2312"/>
          <w:sz w:val="32"/>
          <w:szCs w:val="32"/>
        </w:rPr>
        <w:t>；受灾农民和防治服务组织满意度达到</w:t>
      </w:r>
      <w:r>
        <w:rPr>
          <w:rFonts w:hint="eastAsia" w:eastAsia="仿宋_GB2312"/>
          <w:sz w:val="32"/>
          <w:szCs w:val="32"/>
          <w:lang w:val="en-US" w:eastAsia="zh-CN"/>
        </w:rPr>
        <w:t>85</w:t>
      </w:r>
      <w:r>
        <w:rPr>
          <w:rFonts w:eastAsia="仿宋_GB2312"/>
          <w:sz w:val="32"/>
          <w:szCs w:val="32"/>
        </w:rPr>
        <w:t>%。</w:t>
      </w:r>
    </w:p>
    <w:p w14:paraId="5DE3E8A6">
      <w:pPr>
        <w:spacing w:line="540" w:lineRule="exact"/>
        <w:ind w:firstLine="600" w:firstLineChars="200"/>
        <w:rPr>
          <w:rFonts w:eastAsia="仿宋_GB2312"/>
          <w:sz w:val="30"/>
          <w:szCs w:val="32"/>
        </w:rPr>
      </w:pPr>
      <w:r>
        <w:rPr>
          <w:rFonts w:eastAsia="黑体"/>
          <w:bCs/>
          <w:sz w:val="30"/>
          <w:szCs w:val="32"/>
        </w:rPr>
        <w:t>三、偏离绩效目标的原因和下一步改进措施</w:t>
      </w:r>
    </w:p>
    <w:p w14:paraId="675B0A81">
      <w:pPr>
        <w:spacing w:line="540" w:lineRule="exact"/>
        <w:ind w:firstLine="640" w:firstLineChars="200"/>
        <w:rPr>
          <w:rFonts w:eastAsia="仿宋_GB2312"/>
          <w:sz w:val="32"/>
          <w:szCs w:val="32"/>
        </w:rPr>
      </w:pPr>
      <w:r>
        <w:rPr>
          <w:rFonts w:eastAsia="仿宋_GB2312"/>
          <w:sz w:val="32"/>
          <w:szCs w:val="32"/>
        </w:rPr>
        <w:t>无。</w:t>
      </w:r>
    </w:p>
    <w:p w14:paraId="69830117">
      <w:pPr>
        <w:spacing w:line="540" w:lineRule="exact"/>
        <w:ind w:firstLine="600" w:firstLineChars="200"/>
        <w:rPr>
          <w:rFonts w:eastAsia="黑体"/>
          <w:bCs/>
          <w:sz w:val="30"/>
          <w:szCs w:val="32"/>
        </w:rPr>
      </w:pPr>
      <w:r>
        <w:rPr>
          <w:rFonts w:eastAsia="黑体"/>
          <w:bCs/>
          <w:sz w:val="30"/>
          <w:szCs w:val="32"/>
        </w:rPr>
        <w:t>四、绩效自评结果拟应用和公开情况</w:t>
      </w:r>
    </w:p>
    <w:p w14:paraId="0CFA8EAD">
      <w:pPr>
        <w:spacing w:line="540" w:lineRule="exact"/>
        <w:ind w:firstLine="640" w:firstLineChars="200"/>
        <w:rPr>
          <w:rFonts w:eastAsia="黑体"/>
          <w:bCs/>
          <w:sz w:val="30"/>
          <w:szCs w:val="32"/>
        </w:rPr>
      </w:pPr>
      <w:r>
        <w:rPr>
          <w:rFonts w:eastAsia="仿宋_GB2312"/>
          <w:color w:val="000000"/>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进行应用，向社会公开，自觉接受社会各界监督，从而在强化评价结果导向机制方面发挥更大作用，为改进资金项目管理以及完善相关政策提供重要依据。</w:t>
      </w:r>
    </w:p>
    <w:p w14:paraId="7DA5FF4F">
      <w:pPr>
        <w:spacing w:line="540" w:lineRule="exact"/>
        <w:ind w:firstLine="600" w:firstLineChars="200"/>
        <w:rPr>
          <w:rFonts w:eastAsia="黑体"/>
          <w:bCs/>
          <w:sz w:val="30"/>
          <w:szCs w:val="32"/>
        </w:rPr>
      </w:pPr>
      <w:r>
        <w:rPr>
          <w:rFonts w:eastAsia="黑体"/>
          <w:bCs/>
          <w:sz w:val="30"/>
          <w:szCs w:val="32"/>
        </w:rPr>
        <w:t>五、其他需要说明的问题</w:t>
      </w:r>
    </w:p>
    <w:p w14:paraId="0F99579E">
      <w:pPr>
        <w:spacing w:line="540" w:lineRule="exact"/>
        <w:ind w:firstLine="640" w:firstLineChars="200"/>
        <w:rPr>
          <w:rFonts w:eastAsia="仿宋_GB2312"/>
          <w:sz w:val="32"/>
          <w:szCs w:val="32"/>
        </w:rPr>
      </w:pPr>
      <w:r>
        <w:rPr>
          <w:rFonts w:eastAsia="仿宋_GB2312"/>
          <w:sz w:val="32"/>
          <w:szCs w:val="32"/>
        </w:rPr>
        <w:t>无。</w:t>
      </w:r>
    </w:p>
    <w:p w14:paraId="0C66F829">
      <w:pPr>
        <w:spacing w:line="540" w:lineRule="exact"/>
        <w:ind w:firstLine="640" w:firstLineChars="200"/>
        <w:rPr>
          <w:rFonts w:eastAsia="仿宋_GB2312"/>
          <w:sz w:val="32"/>
          <w:szCs w:val="32"/>
          <w:highlight w:val="yellow"/>
        </w:rPr>
      </w:pPr>
    </w:p>
    <w:p w14:paraId="00E418F8">
      <w:pPr>
        <w:ind w:firstLine="640" w:firstLineChars="200"/>
        <w:rPr>
          <w:rFonts w:hint="eastAsia" w:eastAsia="仿宋_GB2312"/>
          <w:color w:val="000000"/>
          <w:sz w:val="32"/>
          <w:szCs w:val="32"/>
        </w:rPr>
      </w:pPr>
      <w:r>
        <w:rPr>
          <w:rFonts w:hint="eastAsia" w:eastAsia="仿宋_GB2312"/>
          <w:color w:val="000000"/>
          <w:sz w:val="32"/>
          <w:szCs w:val="32"/>
          <w:lang w:eastAsia="zh-CN"/>
        </w:rPr>
        <w:t>附件</w:t>
      </w:r>
      <w:r>
        <w:rPr>
          <w:rFonts w:eastAsia="仿宋_GB2312"/>
          <w:color w:val="000000"/>
          <w:sz w:val="32"/>
          <w:szCs w:val="32"/>
        </w:rPr>
        <w:t>：</w:t>
      </w:r>
      <w:r>
        <w:rPr>
          <w:rFonts w:hint="eastAsia" w:eastAsia="仿宋_GB2312"/>
          <w:color w:val="000000"/>
          <w:sz w:val="32"/>
          <w:szCs w:val="32"/>
        </w:rPr>
        <w:t>天津市农业生产和水利救灾资金区域绩效目标自评</w:t>
      </w:r>
    </w:p>
    <w:p w14:paraId="0B8AD31E">
      <w:pPr>
        <w:ind w:firstLine="1600" w:firstLineChars="500"/>
        <w:rPr>
          <w:rFonts w:eastAsia="仿宋_GB2312"/>
          <w:bCs/>
          <w:color w:val="000000"/>
          <w:sz w:val="32"/>
          <w:szCs w:val="32"/>
        </w:rPr>
      </w:pPr>
      <w:r>
        <w:rPr>
          <w:rFonts w:hint="eastAsia" w:eastAsia="仿宋_GB2312"/>
          <w:color w:val="000000"/>
          <w:sz w:val="32"/>
          <w:szCs w:val="32"/>
        </w:rPr>
        <w:t>表</w:t>
      </w:r>
    </w:p>
    <w:p w14:paraId="21AE424B">
      <w:pPr>
        <w:rPr>
          <w:rFonts w:eastAsia="黑体"/>
          <w:bCs/>
          <w:sz w:val="30"/>
          <w:szCs w:val="44"/>
        </w:rPr>
      </w:pPr>
    </w:p>
    <w:p w14:paraId="4E5E4879"/>
    <w:p w14:paraId="77D22490">
      <w:pPr>
        <w:rPr>
          <w:rFonts w:eastAsia="黑体"/>
          <w:bCs/>
          <w:sz w:val="30"/>
          <w:szCs w:val="44"/>
        </w:rPr>
      </w:pPr>
    </w:p>
    <w:p w14:paraId="62F2AAF4">
      <w:pPr>
        <w:rPr>
          <w:rFonts w:eastAsia="黑体"/>
          <w:bCs/>
          <w:sz w:val="30"/>
          <w:szCs w:val="44"/>
        </w:rPr>
      </w:pPr>
    </w:p>
    <w:p w14:paraId="594D17C7">
      <w:pPr>
        <w:rPr>
          <w:rFonts w:eastAsia="黑体"/>
          <w:bCs/>
          <w:sz w:val="30"/>
          <w:szCs w:val="44"/>
        </w:rPr>
      </w:pPr>
    </w:p>
    <w:p w14:paraId="2AAF1D92">
      <w:pPr>
        <w:rPr>
          <w:rFonts w:eastAsia="黑体"/>
          <w:bCs/>
          <w:sz w:val="30"/>
          <w:szCs w:val="44"/>
        </w:rPr>
      </w:pPr>
    </w:p>
    <w:p w14:paraId="6A68E829">
      <w:pPr>
        <w:rPr>
          <w:rFonts w:eastAsia="黑体"/>
          <w:bCs/>
          <w:sz w:val="30"/>
          <w:szCs w:val="44"/>
        </w:rPr>
      </w:pPr>
    </w:p>
    <w:p w14:paraId="5A7E4EEA">
      <w:pPr>
        <w:rPr>
          <w:rFonts w:eastAsia="黑体"/>
          <w:bCs/>
          <w:sz w:val="30"/>
          <w:szCs w:val="44"/>
        </w:rPr>
      </w:pPr>
    </w:p>
    <w:p w14:paraId="1D636F7F">
      <w:pPr>
        <w:rPr>
          <w:rFonts w:eastAsia="黑体"/>
          <w:bCs/>
          <w:sz w:val="30"/>
          <w:szCs w:val="44"/>
        </w:rPr>
      </w:pPr>
    </w:p>
    <w:p w14:paraId="0D6846C3">
      <w:pPr>
        <w:rPr>
          <w:rFonts w:eastAsia="黑体"/>
          <w:bCs/>
          <w:sz w:val="30"/>
          <w:szCs w:val="44"/>
        </w:rPr>
      </w:pPr>
    </w:p>
    <w:p w14:paraId="5DE013A1">
      <w:pPr>
        <w:rPr>
          <w:rFonts w:eastAsia="黑体"/>
          <w:bCs/>
          <w:sz w:val="30"/>
          <w:szCs w:val="44"/>
        </w:rPr>
      </w:pPr>
    </w:p>
    <w:p w14:paraId="79E6726B">
      <w:pPr>
        <w:rPr>
          <w:rFonts w:eastAsia="黑体"/>
          <w:bCs/>
          <w:sz w:val="30"/>
          <w:szCs w:val="44"/>
        </w:rPr>
      </w:pPr>
    </w:p>
    <w:p w14:paraId="5FAB2586">
      <w:pPr>
        <w:rPr>
          <w:rFonts w:eastAsia="黑体"/>
          <w:bCs/>
          <w:sz w:val="30"/>
          <w:szCs w:val="44"/>
        </w:rPr>
      </w:pPr>
      <w:r>
        <w:rPr>
          <w:rFonts w:eastAsia="黑体"/>
          <w:bCs/>
          <w:sz w:val="30"/>
          <w:szCs w:val="44"/>
        </w:rPr>
        <w:t>附件5</w:t>
      </w:r>
    </w:p>
    <w:p w14:paraId="016E61F2">
      <w:pPr>
        <w:spacing w:line="600" w:lineRule="exact"/>
        <w:jc w:val="center"/>
        <w:rPr>
          <w:rFonts w:eastAsia="方正小标宋简体"/>
          <w:sz w:val="40"/>
          <w:szCs w:val="44"/>
        </w:rPr>
      </w:pPr>
      <w:r>
        <w:rPr>
          <w:rFonts w:eastAsia="方正小标宋简体"/>
          <w:sz w:val="40"/>
          <w:szCs w:val="44"/>
        </w:rPr>
        <w:t>天津市农田建设补助资金</w:t>
      </w:r>
    </w:p>
    <w:p w14:paraId="61077F30">
      <w:pPr>
        <w:spacing w:line="600" w:lineRule="exact"/>
        <w:jc w:val="center"/>
        <w:rPr>
          <w:rFonts w:eastAsia="方正小标宋简体"/>
          <w:sz w:val="40"/>
          <w:szCs w:val="44"/>
        </w:rPr>
      </w:pPr>
      <w:r>
        <w:rPr>
          <w:rFonts w:eastAsia="方正小标宋简体"/>
          <w:sz w:val="40"/>
          <w:szCs w:val="44"/>
        </w:rPr>
        <w:t>转移支付2022年度绩效自评报告</w:t>
      </w:r>
    </w:p>
    <w:p w14:paraId="7FB5BA72">
      <w:pPr>
        <w:spacing w:line="400" w:lineRule="exact"/>
        <w:jc w:val="center"/>
        <w:rPr>
          <w:rFonts w:eastAsia="方正小标宋简体"/>
          <w:sz w:val="40"/>
          <w:szCs w:val="44"/>
        </w:rPr>
      </w:pPr>
    </w:p>
    <w:p w14:paraId="34B429E8">
      <w:pPr>
        <w:spacing w:line="560" w:lineRule="exact"/>
        <w:ind w:firstLine="640" w:firstLineChars="200"/>
        <w:rPr>
          <w:rFonts w:eastAsia="黑体"/>
          <w:bCs/>
          <w:sz w:val="32"/>
          <w:szCs w:val="32"/>
        </w:rPr>
      </w:pPr>
      <w:r>
        <w:rPr>
          <w:rFonts w:eastAsia="黑体"/>
          <w:bCs/>
          <w:sz w:val="32"/>
          <w:szCs w:val="32"/>
        </w:rPr>
        <w:t>一、绩效目标分解下达情况</w:t>
      </w:r>
    </w:p>
    <w:p w14:paraId="22BD3B72">
      <w:pPr>
        <w:spacing w:line="560" w:lineRule="exact"/>
        <w:ind w:firstLine="643" w:firstLineChars="200"/>
        <w:rPr>
          <w:rFonts w:eastAsia="仿宋_GB2312"/>
          <w:sz w:val="32"/>
          <w:szCs w:val="32"/>
        </w:rPr>
      </w:pPr>
      <w:r>
        <w:rPr>
          <w:rFonts w:eastAsia="楷体_GB2312"/>
          <w:b/>
          <w:sz w:val="32"/>
          <w:szCs w:val="32"/>
        </w:rPr>
        <w:t>（一）中央下达预算和区域绩效目标情况。</w:t>
      </w:r>
      <w:r>
        <w:rPr>
          <w:rFonts w:eastAsia="仿宋_GB2312"/>
          <w:sz w:val="32"/>
          <w:szCs w:val="32"/>
        </w:rPr>
        <w:t>2022年，中央下达我市农田建设补助资金预算13245万元，下达区域绩效目标为：“</w:t>
      </w:r>
      <w:r>
        <w:rPr>
          <w:rFonts w:hint="eastAsia" w:eastAsia="仿宋_GB2312"/>
          <w:sz w:val="32"/>
          <w:szCs w:val="32"/>
        </w:rPr>
        <w:t>建设高标准农田20万亩，通过项目建设，有效改善项目区农田基础设施条件，提升耕地质量，提高粮食综合生产能力。其中新增高效节水灌溉面积3万亩，提升农田灌溉排水和节水能力</w:t>
      </w:r>
      <w:r>
        <w:rPr>
          <w:rFonts w:eastAsia="仿宋_GB2312"/>
          <w:sz w:val="32"/>
          <w:szCs w:val="32"/>
        </w:rPr>
        <w:t>”。</w:t>
      </w:r>
    </w:p>
    <w:p w14:paraId="5CE5071D">
      <w:pPr>
        <w:spacing w:line="560" w:lineRule="exact"/>
        <w:ind w:firstLine="643" w:firstLineChars="200"/>
        <w:rPr>
          <w:rFonts w:hint="eastAsia" w:eastAsia="仿宋_GB2312"/>
          <w:color w:val="000000"/>
          <w:sz w:val="32"/>
          <w:szCs w:val="32"/>
        </w:rPr>
      </w:pPr>
      <w:r>
        <w:rPr>
          <w:rFonts w:eastAsia="楷体_GB2312"/>
          <w:b/>
          <w:color w:val="000000"/>
          <w:sz w:val="32"/>
          <w:szCs w:val="32"/>
        </w:rPr>
        <w:t>（二）我市分解下达预算和绩效目标情况。</w:t>
      </w:r>
      <w:r>
        <w:rPr>
          <w:rFonts w:eastAsia="仿宋_GB2312"/>
          <w:color w:val="000000"/>
          <w:sz w:val="32"/>
          <w:szCs w:val="32"/>
        </w:rPr>
        <w:t>按照《财政部关于提前下达2022年农田建设补助资金预算的通知》（财农〔2021〕</w:t>
      </w:r>
      <w:r>
        <w:rPr>
          <w:rFonts w:hint="eastAsia" w:eastAsia="仿宋_GB2312"/>
          <w:color w:val="000000"/>
          <w:sz w:val="32"/>
          <w:szCs w:val="32"/>
        </w:rPr>
        <w:t>1</w:t>
      </w:r>
      <w:r>
        <w:rPr>
          <w:rFonts w:eastAsia="仿宋_GB2312"/>
          <w:color w:val="000000"/>
          <w:sz w:val="32"/>
          <w:szCs w:val="32"/>
        </w:rPr>
        <w:t>00号）、《财政部关于下达2022年农田建设补助资金预算的通知》（财农〔2022〕28号）要求，结合我市实际，2020年12月和2021年4月，我市通过《天津市财政局关于提前下达中央财政2022年农田建设补助</w:t>
      </w:r>
      <w:r>
        <w:rPr>
          <w:rFonts w:hint="eastAsia" w:eastAsia="仿宋_GB2312"/>
          <w:color w:val="000000"/>
          <w:sz w:val="32"/>
          <w:szCs w:val="32"/>
        </w:rPr>
        <w:t>和生猪调出大县奖励（直达）</w:t>
      </w:r>
      <w:r>
        <w:rPr>
          <w:rFonts w:eastAsia="仿宋_GB2312"/>
          <w:color w:val="000000"/>
          <w:sz w:val="32"/>
          <w:szCs w:val="32"/>
        </w:rPr>
        <w:t>预算的通知》（津财农指〔2021〕</w:t>
      </w:r>
      <w:r>
        <w:rPr>
          <w:rFonts w:hint="eastAsia" w:eastAsia="仿宋_GB2312"/>
          <w:color w:val="000000"/>
          <w:sz w:val="32"/>
          <w:szCs w:val="32"/>
        </w:rPr>
        <w:t>5</w:t>
      </w:r>
      <w:r>
        <w:rPr>
          <w:rFonts w:eastAsia="仿宋_GB2312"/>
          <w:color w:val="000000"/>
          <w:sz w:val="32"/>
          <w:szCs w:val="32"/>
        </w:rPr>
        <w:t>2号）、《天津市财政局关于下达中央财政2022年农田建设补助</w:t>
      </w:r>
      <w:r>
        <w:rPr>
          <w:rFonts w:hint="eastAsia" w:eastAsia="仿宋_GB2312"/>
          <w:color w:val="000000"/>
          <w:sz w:val="32"/>
          <w:szCs w:val="32"/>
        </w:rPr>
        <w:t>资金（直达）</w:t>
      </w:r>
      <w:r>
        <w:rPr>
          <w:rFonts w:eastAsia="仿宋_GB2312"/>
          <w:color w:val="000000"/>
          <w:sz w:val="32"/>
          <w:szCs w:val="32"/>
        </w:rPr>
        <w:t>预算的通知》（津财农指〔2022〕</w:t>
      </w:r>
      <w:r>
        <w:rPr>
          <w:rFonts w:hint="eastAsia" w:eastAsia="仿宋_GB2312"/>
          <w:color w:val="000000"/>
          <w:sz w:val="32"/>
          <w:szCs w:val="32"/>
        </w:rPr>
        <w:t>7</w:t>
      </w:r>
      <w:r>
        <w:rPr>
          <w:rFonts w:eastAsia="仿宋_GB2312"/>
          <w:color w:val="000000"/>
          <w:sz w:val="32"/>
          <w:szCs w:val="32"/>
        </w:rPr>
        <w:t>号），及时将中央资金和绩效目标等同步分解下达至各相关区，其中：蓟州区577万元、宝坻区3874万元、武清区3380万元、宁河区3100万元、静海区1529万元、津南区21万元、北辰区418万元、滨海新区246万元。</w:t>
      </w:r>
      <w:r>
        <w:rPr>
          <w:rFonts w:hint="eastAsia" w:eastAsia="仿宋_GB2312"/>
          <w:color w:val="000000"/>
          <w:sz w:val="32"/>
          <w:szCs w:val="32"/>
          <w:lang w:eastAsia="zh-CN"/>
        </w:rPr>
        <w:t>此外，</w:t>
      </w:r>
      <w:r>
        <w:rPr>
          <w:rFonts w:hint="eastAsia" w:eastAsia="仿宋_GB2312"/>
          <w:color w:val="000000"/>
          <w:sz w:val="32"/>
          <w:szCs w:val="32"/>
          <w:lang w:val="en-US" w:eastAsia="zh-CN"/>
        </w:rPr>
        <w:t>2022年12月，我市通过《天津市财政局关于下达农业生产发展资金（农田建设补助）资金预算（市级调剂资金）的通知》（</w:t>
      </w:r>
      <w:r>
        <w:rPr>
          <w:rFonts w:hint="eastAsia" w:eastAsia="仿宋_GB2312"/>
          <w:color w:val="000000"/>
          <w:sz w:val="32"/>
          <w:szCs w:val="32"/>
        </w:rPr>
        <w:t>津财农指〔2022〕45号</w:t>
      </w:r>
      <w:r>
        <w:rPr>
          <w:rFonts w:hint="eastAsia" w:eastAsia="仿宋_GB2312"/>
          <w:color w:val="000000"/>
          <w:sz w:val="32"/>
          <w:szCs w:val="32"/>
          <w:lang w:val="en-US" w:eastAsia="zh-CN"/>
        </w:rPr>
        <w:t>），下达</w:t>
      </w:r>
      <w:r>
        <w:rPr>
          <w:rFonts w:hint="eastAsia" w:eastAsia="仿宋_GB2312"/>
          <w:color w:val="000000"/>
          <w:sz w:val="32"/>
          <w:szCs w:val="32"/>
        </w:rPr>
        <w:t>市级</w:t>
      </w:r>
      <w:r>
        <w:rPr>
          <w:rFonts w:eastAsia="仿宋_GB2312"/>
          <w:color w:val="000000"/>
          <w:sz w:val="32"/>
          <w:szCs w:val="32"/>
        </w:rPr>
        <w:t>财政资金</w:t>
      </w:r>
      <w:r>
        <w:rPr>
          <w:rFonts w:hint="eastAsia" w:eastAsia="仿宋_GB2312"/>
          <w:color w:val="000000"/>
          <w:sz w:val="32"/>
          <w:szCs w:val="32"/>
        </w:rPr>
        <w:t>4267万元</w:t>
      </w:r>
      <w:r>
        <w:rPr>
          <w:rFonts w:eastAsia="仿宋_GB2312"/>
          <w:color w:val="000000"/>
          <w:sz w:val="32"/>
          <w:szCs w:val="32"/>
        </w:rPr>
        <w:t>，</w:t>
      </w:r>
      <w:r>
        <w:rPr>
          <w:rFonts w:hint="eastAsia" w:eastAsia="仿宋_GB2312"/>
          <w:color w:val="000000"/>
          <w:sz w:val="32"/>
          <w:szCs w:val="32"/>
          <w:lang w:eastAsia="zh-CN"/>
        </w:rPr>
        <w:t>相关区还安排区级资金</w:t>
      </w:r>
      <w:r>
        <w:rPr>
          <w:rFonts w:hint="eastAsia" w:eastAsia="仿宋_GB2312"/>
          <w:color w:val="000000"/>
          <w:sz w:val="32"/>
          <w:szCs w:val="32"/>
        </w:rPr>
        <w:t>60万元</w:t>
      </w:r>
      <w:r>
        <w:rPr>
          <w:rFonts w:eastAsia="仿宋_GB2312"/>
          <w:color w:val="000000"/>
          <w:sz w:val="32"/>
          <w:szCs w:val="32"/>
        </w:rPr>
        <w:t>。</w:t>
      </w:r>
    </w:p>
    <w:p w14:paraId="3AA71CDC">
      <w:pPr>
        <w:spacing w:line="560" w:lineRule="exact"/>
        <w:ind w:firstLine="640" w:firstLineChars="200"/>
        <w:rPr>
          <w:rFonts w:eastAsia="黑体"/>
          <w:bCs/>
          <w:sz w:val="32"/>
          <w:szCs w:val="32"/>
        </w:rPr>
      </w:pPr>
      <w:r>
        <w:rPr>
          <w:rFonts w:eastAsia="黑体"/>
          <w:bCs/>
          <w:sz w:val="32"/>
          <w:szCs w:val="32"/>
        </w:rPr>
        <w:t>二、绩效目标完成情况分析</w:t>
      </w:r>
    </w:p>
    <w:p w14:paraId="40DC08C9">
      <w:pPr>
        <w:spacing w:line="560" w:lineRule="exact"/>
        <w:ind w:firstLine="643" w:firstLineChars="200"/>
        <w:outlineLvl w:val="0"/>
        <w:rPr>
          <w:rFonts w:eastAsia="楷体_GB2312"/>
          <w:bCs/>
          <w:sz w:val="32"/>
          <w:szCs w:val="32"/>
        </w:rPr>
      </w:pPr>
      <w:r>
        <w:rPr>
          <w:rFonts w:eastAsia="楷体_GB2312"/>
          <w:b/>
          <w:bCs/>
          <w:sz w:val="32"/>
          <w:szCs w:val="32"/>
        </w:rPr>
        <w:t>（一）资金投入情况分析</w:t>
      </w:r>
    </w:p>
    <w:p w14:paraId="661C1287">
      <w:pPr>
        <w:spacing w:line="560" w:lineRule="exact"/>
        <w:ind w:firstLine="643" w:firstLineChars="200"/>
        <w:rPr>
          <w:rFonts w:eastAsia="仿宋_GB2312"/>
          <w:color w:val="000000"/>
          <w:sz w:val="32"/>
          <w:szCs w:val="32"/>
        </w:rPr>
      </w:pPr>
      <w:r>
        <w:rPr>
          <w:rFonts w:eastAsia="仿宋_GB2312"/>
          <w:b/>
          <w:color w:val="000000"/>
          <w:sz w:val="32"/>
          <w:szCs w:val="32"/>
        </w:rPr>
        <w:t>1.项目资金到位情况分析。</w:t>
      </w:r>
      <w:r>
        <w:rPr>
          <w:rFonts w:eastAsia="仿宋_GB2312"/>
          <w:color w:val="000000"/>
          <w:sz w:val="32"/>
          <w:szCs w:val="32"/>
        </w:rPr>
        <w:t>按照中央有关要求，2021年12月</w:t>
      </w:r>
      <w:r>
        <w:rPr>
          <w:rFonts w:hint="eastAsia" w:eastAsia="仿宋_GB2312"/>
          <w:color w:val="000000"/>
          <w:sz w:val="32"/>
          <w:szCs w:val="32"/>
        </w:rPr>
        <w:t>和2</w:t>
      </w:r>
      <w:r>
        <w:rPr>
          <w:rFonts w:eastAsia="仿宋_GB2312"/>
          <w:color w:val="000000"/>
          <w:sz w:val="32"/>
          <w:szCs w:val="32"/>
        </w:rPr>
        <w:t>022</w:t>
      </w:r>
      <w:r>
        <w:rPr>
          <w:rFonts w:hint="eastAsia" w:eastAsia="仿宋_GB2312"/>
          <w:color w:val="000000"/>
          <w:sz w:val="32"/>
          <w:szCs w:val="32"/>
        </w:rPr>
        <w:t>年5月，我市通过</w:t>
      </w:r>
      <w:r>
        <w:rPr>
          <w:rFonts w:eastAsia="仿宋_GB2312"/>
          <w:color w:val="000000"/>
          <w:sz w:val="32"/>
          <w:szCs w:val="32"/>
        </w:rPr>
        <w:t>《天津市财政局关于提前下达中央财政2022年农田建设补助</w:t>
      </w:r>
      <w:r>
        <w:rPr>
          <w:rFonts w:hint="eastAsia" w:eastAsia="仿宋_GB2312"/>
          <w:color w:val="000000"/>
          <w:sz w:val="32"/>
          <w:szCs w:val="32"/>
        </w:rPr>
        <w:t>和生猪调出大县奖励（直达）</w:t>
      </w:r>
      <w:r>
        <w:rPr>
          <w:rFonts w:eastAsia="仿宋_GB2312"/>
          <w:color w:val="000000"/>
          <w:sz w:val="32"/>
          <w:szCs w:val="32"/>
        </w:rPr>
        <w:t>预算的通知》（津财农指〔2021〕</w:t>
      </w:r>
      <w:r>
        <w:rPr>
          <w:rFonts w:hint="eastAsia" w:eastAsia="仿宋_GB2312"/>
          <w:color w:val="000000"/>
          <w:sz w:val="32"/>
          <w:szCs w:val="32"/>
        </w:rPr>
        <w:t>5</w:t>
      </w:r>
      <w:r>
        <w:rPr>
          <w:rFonts w:eastAsia="仿宋_GB2312"/>
          <w:color w:val="000000"/>
          <w:sz w:val="32"/>
          <w:szCs w:val="32"/>
        </w:rPr>
        <w:t>2号）、《天津市财政局关于下达中央财政2022年农田建设补助</w:t>
      </w:r>
      <w:r>
        <w:rPr>
          <w:rFonts w:hint="eastAsia" w:eastAsia="仿宋_GB2312"/>
          <w:color w:val="000000"/>
          <w:sz w:val="32"/>
          <w:szCs w:val="32"/>
        </w:rPr>
        <w:t>资金（直达）</w:t>
      </w:r>
      <w:r>
        <w:rPr>
          <w:rFonts w:eastAsia="仿宋_GB2312"/>
          <w:color w:val="000000"/>
          <w:sz w:val="32"/>
          <w:szCs w:val="32"/>
        </w:rPr>
        <w:t>预算的通知》（津财农指〔2022〕</w:t>
      </w:r>
      <w:r>
        <w:rPr>
          <w:rFonts w:hint="eastAsia" w:eastAsia="仿宋_GB2312"/>
          <w:color w:val="000000"/>
          <w:sz w:val="32"/>
          <w:szCs w:val="32"/>
        </w:rPr>
        <w:t>7</w:t>
      </w:r>
      <w:r>
        <w:rPr>
          <w:rFonts w:eastAsia="仿宋_GB2312"/>
          <w:color w:val="000000"/>
          <w:sz w:val="32"/>
          <w:szCs w:val="32"/>
        </w:rPr>
        <w:t>号）</w:t>
      </w:r>
      <w:r>
        <w:rPr>
          <w:rFonts w:hint="eastAsia" w:eastAsia="仿宋_GB2312"/>
          <w:color w:val="000000"/>
          <w:sz w:val="32"/>
          <w:szCs w:val="32"/>
        </w:rPr>
        <w:t>，将中央财政预算资金1</w:t>
      </w:r>
      <w:r>
        <w:rPr>
          <w:rFonts w:eastAsia="仿宋_GB2312"/>
          <w:color w:val="000000"/>
          <w:sz w:val="32"/>
          <w:szCs w:val="32"/>
        </w:rPr>
        <w:t>3245</w:t>
      </w:r>
      <w:r>
        <w:rPr>
          <w:rFonts w:hint="eastAsia" w:eastAsia="仿宋_GB2312"/>
          <w:color w:val="000000"/>
          <w:sz w:val="32"/>
          <w:szCs w:val="32"/>
        </w:rPr>
        <w:t>万元全部下达</w:t>
      </w:r>
      <w:r>
        <w:rPr>
          <w:rFonts w:eastAsia="仿宋_GB2312"/>
          <w:color w:val="000000"/>
          <w:sz w:val="32"/>
          <w:szCs w:val="32"/>
        </w:rPr>
        <w:t>。</w:t>
      </w:r>
      <w:r>
        <w:rPr>
          <w:rFonts w:hint="eastAsia" w:eastAsia="仿宋_GB2312"/>
          <w:color w:val="000000"/>
          <w:sz w:val="32"/>
          <w:szCs w:val="32"/>
        </w:rPr>
        <w:t>2022年12月，我市通过《天津市财政局关于下达农业生产发展资金（农田建设补助）资金预算（市级调剂资金）的通知》（津财农指〔2022〕45号），下达市级财政资金4267万元，相关区还安排区级资金60万元。</w:t>
      </w:r>
    </w:p>
    <w:p w14:paraId="5A322EDE">
      <w:pPr>
        <w:spacing w:line="560" w:lineRule="exact"/>
        <w:ind w:firstLine="643" w:firstLineChars="200"/>
        <w:rPr>
          <w:rFonts w:eastAsia="仿宋_GB2312"/>
          <w:color w:val="000000"/>
          <w:sz w:val="32"/>
          <w:szCs w:val="32"/>
        </w:rPr>
      </w:pPr>
      <w:r>
        <w:rPr>
          <w:rFonts w:eastAsia="仿宋_GB2312"/>
          <w:b/>
          <w:color w:val="000000"/>
          <w:sz w:val="32"/>
          <w:szCs w:val="32"/>
        </w:rPr>
        <w:t>2.项目资金执行情况分析。</w:t>
      </w:r>
      <w:r>
        <w:rPr>
          <w:rFonts w:eastAsia="仿宋_GB2312"/>
          <w:color w:val="000000"/>
          <w:sz w:val="32"/>
          <w:szCs w:val="32"/>
        </w:rPr>
        <w:t>年度资金总额17572万元</w:t>
      </w:r>
      <w:r>
        <w:rPr>
          <w:rFonts w:hint="eastAsia" w:eastAsia="仿宋_GB2312"/>
          <w:color w:val="000000"/>
          <w:sz w:val="32"/>
          <w:szCs w:val="32"/>
        </w:rPr>
        <w:t>,</w:t>
      </w:r>
      <w:r>
        <w:rPr>
          <w:rFonts w:eastAsia="仿宋_GB2312"/>
          <w:color w:val="000000"/>
          <w:sz w:val="32"/>
          <w:szCs w:val="32"/>
        </w:rPr>
        <w:t>已执行9836万元</w:t>
      </w:r>
      <w:r>
        <w:rPr>
          <w:rFonts w:hint="eastAsia" w:eastAsia="仿宋_GB2312"/>
          <w:color w:val="000000"/>
          <w:sz w:val="32"/>
          <w:szCs w:val="32"/>
        </w:rPr>
        <w:t>,</w:t>
      </w:r>
      <w:r>
        <w:rPr>
          <w:rFonts w:eastAsia="仿宋_GB2312"/>
          <w:color w:val="000000"/>
          <w:sz w:val="32"/>
          <w:szCs w:val="32"/>
        </w:rPr>
        <w:t>执行率56%;其中：中央财政资金13245万元、已执行6846万元、执行率51.7%，地方资金4327万元、已执行2990万元、执行率69.1%。</w:t>
      </w:r>
    </w:p>
    <w:p w14:paraId="6CCD8929">
      <w:pPr>
        <w:spacing w:line="560" w:lineRule="exact"/>
        <w:ind w:firstLine="643" w:firstLineChars="200"/>
        <w:rPr>
          <w:rFonts w:eastAsia="仿宋_GB2312"/>
          <w:sz w:val="32"/>
          <w:szCs w:val="32"/>
        </w:rPr>
      </w:pPr>
      <w:r>
        <w:rPr>
          <w:rFonts w:eastAsia="仿宋_GB2312"/>
          <w:b/>
          <w:color w:val="000000"/>
          <w:sz w:val="32"/>
          <w:szCs w:val="32"/>
        </w:rPr>
        <w:t>3.项目资金管理情况分析。</w:t>
      </w:r>
      <w:r>
        <w:rPr>
          <w:rFonts w:eastAsia="仿宋_GB2312"/>
          <w:sz w:val="32"/>
          <w:szCs w:val="32"/>
        </w:rPr>
        <w:t>我市按照《财政部 农业部关于印发&lt;农田建设补助资金管理办法&gt;的通知》（财农〔2019〕46号）规定，及时将中央财政资金拨付至各相关区，资金拨付程序规范、手续完备。此外，为进一步加强和规范农田建设补助资金管理，推进资金统筹使用，提高资金使用效益，增强农业综合生产能力，我市印发了《天津市农田建设补助资金管理实施细则》（津财农〔2020〕6号），对指导各涉农区管好、用好农田建设补助资金，提供了制度保障。</w:t>
      </w:r>
    </w:p>
    <w:p w14:paraId="598642B1">
      <w:pPr>
        <w:spacing w:line="560" w:lineRule="exact"/>
        <w:ind w:firstLine="643" w:firstLineChars="200"/>
        <w:outlineLvl w:val="0"/>
        <w:rPr>
          <w:rFonts w:eastAsia="仿宋_GB2312"/>
          <w:sz w:val="32"/>
          <w:szCs w:val="32"/>
        </w:rPr>
      </w:pPr>
      <w:r>
        <w:rPr>
          <w:rFonts w:eastAsia="楷体_GB2312"/>
          <w:b/>
          <w:bCs/>
          <w:sz w:val="32"/>
          <w:szCs w:val="32"/>
        </w:rPr>
        <w:t>（二）总体绩效目标完成情况分析。</w:t>
      </w:r>
      <w:r>
        <w:rPr>
          <w:rFonts w:eastAsia="仿宋_GB2312"/>
          <w:color w:val="000000"/>
          <w:sz w:val="32"/>
          <w:szCs w:val="32"/>
        </w:rPr>
        <w:t>2022年财政部下达我市年度总体绩效目标为：“</w:t>
      </w:r>
      <w:r>
        <w:rPr>
          <w:rFonts w:hint="eastAsia" w:eastAsia="仿宋_GB2312"/>
          <w:sz w:val="32"/>
          <w:szCs w:val="32"/>
        </w:rPr>
        <w:t>建设高标准农田20万亩，通过项目建设，有效改善项目区农田基础设施条件，提升耕地质量，提高粮食综合生产能力。其中新增高效节水灌溉面积3万亩，提升农田灌溉排水和节水能力</w:t>
      </w:r>
      <w:r>
        <w:rPr>
          <w:rFonts w:eastAsia="仿宋_GB2312"/>
          <w:color w:val="000000"/>
          <w:sz w:val="32"/>
          <w:szCs w:val="32"/>
        </w:rPr>
        <w:t>”，</w:t>
      </w:r>
      <w:r>
        <w:rPr>
          <w:rFonts w:eastAsia="仿宋_GB2312"/>
          <w:sz w:val="32"/>
          <w:szCs w:val="32"/>
        </w:rPr>
        <w:t>上述年度目标截至目前已基本完成。全年实际完成情如下：完成新建高标准农田24万亩，高效节水灌溉面积10万亩，通过项目建设，有效改善了项目区农田基础设施条件，项目区耕地质量逐步提升，全市耕地质量由2021年的4.32提升到4.31，提升了0.01个等级，粮食综合生产能力进一步提高，农田灌溉排水和节水能力稳步提升，灌溉水利用率提高50%。</w:t>
      </w:r>
    </w:p>
    <w:p w14:paraId="62FCD04E">
      <w:pPr>
        <w:spacing w:line="560" w:lineRule="exact"/>
        <w:ind w:firstLine="643" w:firstLineChars="200"/>
        <w:outlineLvl w:val="0"/>
        <w:rPr>
          <w:rFonts w:eastAsia="楷体_GB2312"/>
          <w:b/>
          <w:bCs/>
          <w:sz w:val="32"/>
          <w:szCs w:val="32"/>
        </w:rPr>
      </w:pPr>
      <w:r>
        <w:rPr>
          <w:rFonts w:eastAsia="楷体_GB2312"/>
          <w:b/>
          <w:bCs/>
          <w:sz w:val="32"/>
          <w:szCs w:val="32"/>
        </w:rPr>
        <w:t>（三）绩效指标完成情况分析</w:t>
      </w:r>
    </w:p>
    <w:p w14:paraId="062C1198">
      <w:pPr>
        <w:spacing w:line="560" w:lineRule="exact"/>
        <w:ind w:firstLine="640" w:firstLineChars="200"/>
        <w:rPr>
          <w:rFonts w:eastAsia="仿宋_GB2312"/>
          <w:b/>
          <w:sz w:val="32"/>
          <w:szCs w:val="32"/>
        </w:rPr>
      </w:pPr>
      <w:r>
        <w:rPr>
          <w:rFonts w:eastAsia="仿宋_GB2312"/>
          <w:sz w:val="32"/>
          <w:szCs w:val="32"/>
        </w:rPr>
        <w:t>全年共分解下达绩效指标9个，完成9个。</w:t>
      </w:r>
    </w:p>
    <w:p w14:paraId="25B28FB2">
      <w:pPr>
        <w:spacing w:line="560" w:lineRule="exact"/>
        <w:ind w:firstLine="640" w:firstLineChars="200"/>
        <w:rPr>
          <w:rFonts w:eastAsia="仿宋_GB2312"/>
          <w:sz w:val="32"/>
          <w:szCs w:val="32"/>
        </w:rPr>
      </w:pPr>
      <w:r>
        <w:rPr>
          <w:rFonts w:eastAsia="仿宋_GB2312"/>
          <w:sz w:val="32"/>
          <w:szCs w:val="32"/>
        </w:rPr>
        <w:t>1.产出指标4个，完成4个。</w:t>
      </w:r>
    </w:p>
    <w:p w14:paraId="3EFBB312">
      <w:pPr>
        <w:spacing w:line="560" w:lineRule="exact"/>
        <w:ind w:firstLine="640" w:firstLineChars="200"/>
        <w:rPr>
          <w:rFonts w:eastAsia="仿宋_GB2312"/>
          <w:color w:val="000000"/>
          <w:sz w:val="32"/>
          <w:szCs w:val="32"/>
        </w:rPr>
      </w:pPr>
      <w:r>
        <w:rPr>
          <w:rFonts w:eastAsia="仿宋_GB2312"/>
          <w:color w:val="000000"/>
          <w:sz w:val="32"/>
          <w:szCs w:val="32"/>
        </w:rPr>
        <w:t>一是数量指标2个，</w:t>
      </w:r>
      <w:r>
        <w:rPr>
          <w:rFonts w:eastAsia="仿宋_GB2312"/>
          <w:sz w:val="32"/>
          <w:szCs w:val="32"/>
        </w:rPr>
        <w:t>完成2个。</w:t>
      </w:r>
      <w:r>
        <w:rPr>
          <w:rFonts w:hint="eastAsia" w:eastAsia="仿宋_GB2312"/>
          <w:color w:val="000000"/>
          <w:sz w:val="32"/>
          <w:szCs w:val="32"/>
        </w:rPr>
        <w:t>新建</w:t>
      </w:r>
      <w:r>
        <w:rPr>
          <w:rFonts w:eastAsia="仿宋_GB2312"/>
          <w:color w:val="000000"/>
          <w:sz w:val="32"/>
          <w:szCs w:val="32"/>
        </w:rPr>
        <w:t>高标准农田面积</w:t>
      </w:r>
      <w:r>
        <w:rPr>
          <w:rFonts w:eastAsia="仿宋_GB2312"/>
          <w:sz w:val="32"/>
          <w:szCs w:val="32"/>
        </w:rPr>
        <w:t>24万亩</w:t>
      </w:r>
      <w:r>
        <w:rPr>
          <w:rFonts w:hint="eastAsia" w:eastAsia="仿宋_GB2312"/>
          <w:sz w:val="32"/>
          <w:szCs w:val="32"/>
        </w:rPr>
        <w:t>，</w:t>
      </w:r>
      <w:r>
        <w:rPr>
          <w:rFonts w:eastAsia="仿宋_GB2312"/>
          <w:color w:val="000000"/>
          <w:sz w:val="32"/>
          <w:szCs w:val="32"/>
        </w:rPr>
        <w:t>新增高效节水灌溉面积</w:t>
      </w:r>
      <w:r>
        <w:rPr>
          <w:rFonts w:hint="eastAsia" w:eastAsia="仿宋_GB2312"/>
          <w:color w:val="000000"/>
          <w:sz w:val="32"/>
          <w:szCs w:val="32"/>
        </w:rPr>
        <w:t>1</w:t>
      </w:r>
      <w:r>
        <w:rPr>
          <w:rFonts w:eastAsia="仿宋_GB2312"/>
          <w:color w:val="000000"/>
          <w:sz w:val="32"/>
          <w:szCs w:val="32"/>
        </w:rPr>
        <w:t>0万亩。</w:t>
      </w:r>
    </w:p>
    <w:p w14:paraId="769811E0">
      <w:pPr>
        <w:spacing w:line="560" w:lineRule="exact"/>
        <w:ind w:firstLine="640" w:firstLineChars="200"/>
        <w:rPr>
          <w:rFonts w:eastAsia="仿宋_GB2312"/>
          <w:color w:val="000000"/>
          <w:sz w:val="32"/>
          <w:szCs w:val="32"/>
        </w:rPr>
      </w:pPr>
      <w:r>
        <w:rPr>
          <w:rFonts w:eastAsia="仿宋_GB2312"/>
          <w:color w:val="000000"/>
          <w:sz w:val="32"/>
          <w:szCs w:val="32"/>
        </w:rPr>
        <w:t>二是质量指标1个，全部完成。项目验收合格率100%。</w:t>
      </w:r>
    </w:p>
    <w:p w14:paraId="55F7BE6D">
      <w:pPr>
        <w:spacing w:line="560" w:lineRule="exact"/>
        <w:ind w:firstLine="640" w:firstLineChars="200"/>
        <w:rPr>
          <w:rFonts w:eastAsia="仿宋_GB2312"/>
          <w:color w:val="000000"/>
          <w:sz w:val="32"/>
          <w:szCs w:val="32"/>
        </w:rPr>
      </w:pPr>
      <w:r>
        <w:rPr>
          <w:rFonts w:eastAsia="仿宋_GB2312"/>
          <w:color w:val="000000"/>
          <w:sz w:val="32"/>
          <w:szCs w:val="32"/>
        </w:rPr>
        <w:t>三是时效指标1个，全部完成。目前完成任务及时性均在1年以内，达到年度指标值要求。</w:t>
      </w:r>
    </w:p>
    <w:p w14:paraId="2C167099">
      <w:pPr>
        <w:spacing w:line="560" w:lineRule="exact"/>
        <w:ind w:firstLine="640" w:firstLineChars="200"/>
        <w:rPr>
          <w:rFonts w:eastAsia="仿宋_GB2312"/>
          <w:color w:val="000000"/>
          <w:sz w:val="32"/>
          <w:szCs w:val="32"/>
        </w:rPr>
      </w:pPr>
      <w:r>
        <w:rPr>
          <w:rFonts w:eastAsia="仿宋_GB2312"/>
          <w:color w:val="000000"/>
          <w:sz w:val="32"/>
          <w:szCs w:val="32"/>
        </w:rPr>
        <w:t>2.效益指标4个，全部完成。</w:t>
      </w:r>
    </w:p>
    <w:p w14:paraId="5C7708CA">
      <w:pPr>
        <w:spacing w:line="560" w:lineRule="exact"/>
        <w:ind w:firstLine="640" w:firstLineChars="200"/>
        <w:rPr>
          <w:rFonts w:eastAsia="仿宋_GB2312"/>
          <w:color w:val="000000"/>
          <w:sz w:val="32"/>
          <w:szCs w:val="32"/>
        </w:rPr>
      </w:pPr>
      <w:r>
        <w:rPr>
          <w:rFonts w:eastAsia="仿宋_GB2312"/>
          <w:color w:val="000000"/>
          <w:sz w:val="32"/>
          <w:szCs w:val="32"/>
        </w:rPr>
        <w:t>一是社会效益指标2个，全部完成。项目区粮食综合生产能力明显提升，</w:t>
      </w:r>
      <w:r>
        <w:rPr>
          <w:rFonts w:hint="eastAsia" w:eastAsia="仿宋_GB2312"/>
          <w:color w:val="000000"/>
          <w:sz w:val="32"/>
          <w:szCs w:val="32"/>
        </w:rPr>
        <w:t>亩均粮食产能达到800公斤；</w:t>
      </w:r>
      <w:r>
        <w:rPr>
          <w:rFonts w:eastAsia="仿宋_GB2312"/>
          <w:color w:val="000000"/>
          <w:sz w:val="32"/>
          <w:szCs w:val="32"/>
        </w:rPr>
        <w:t>田间道路通达度</w:t>
      </w:r>
      <w:r>
        <w:rPr>
          <w:rFonts w:hint="eastAsia" w:eastAsia="仿宋_GB2312"/>
          <w:color w:val="000000"/>
          <w:sz w:val="32"/>
          <w:szCs w:val="32"/>
        </w:rPr>
        <w:t>平原区达到100%，丘陵区95%。</w:t>
      </w:r>
    </w:p>
    <w:p w14:paraId="502BCAE1">
      <w:pPr>
        <w:spacing w:line="560" w:lineRule="exact"/>
        <w:ind w:firstLine="640" w:firstLineChars="200"/>
        <w:rPr>
          <w:rFonts w:eastAsia="仿宋_GB2312"/>
          <w:color w:val="000000"/>
          <w:sz w:val="32"/>
          <w:szCs w:val="32"/>
        </w:rPr>
      </w:pPr>
      <w:r>
        <w:rPr>
          <w:rFonts w:eastAsia="仿宋_GB2312"/>
          <w:color w:val="000000"/>
          <w:sz w:val="32"/>
          <w:szCs w:val="32"/>
        </w:rPr>
        <w:t>二是生态效益指标2个，全部完成。项目区耕地质量逐步提升，全市耕地质量由2021年的4.32提升到4.31，提升了0.01个等级。水资源利用率逐步提高，灌溉水利用率提高50%。</w:t>
      </w:r>
    </w:p>
    <w:p w14:paraId="4A408FD0">
      <w:pPr>
        <w:spacing w:line="560" w:lineRule="exact"/>
        <w:ind w:firstLine="640" w:firstLineChars="200"/>
        <w:rPr>
          <w:rFonts w:eastAsia="仿宋_GB2312"/>
          <w:sz w:val="32"/>
          <w:szCs w:val="32"/>
        </w:rPr>
      </w:pPr>
      <w:r>
        <w:rPr>
          <w:rFonts w:eastAsia="仿宋_GB2312"/>
          <w:sz w:val="32"/>
          <w:szCs w:val="32"/>
        </w:rPr>
        <w:t>3.满意度指标1个，全部完成。服务对象满意度指标1个，全部完成。受益群众满意率95%。</w:t>
      </w:r>
    </w:p>
    <w:p w14:paraId="5E29984D">
      <w:pPr>
        <w:spacing w:line="560" w:lineRule="exact"/>
        <w:ind w:firstLine="600" w:firstLineChars="200"/>
        <w:rPr>
          <w:rFonts w:eastAsia="黑体"/>
          <w:bCs/>
          <w:sz w:val="30"/>
          <w:szCs w:val="32"/>
        </w:rPr>
      </w:pPr>
      <w:r>
        <w:rPr>
          <w:rFonts w:eastAsia="黑体"/>
          <w:bCs/>
          <w:sz w:val="30"/>
          <w:szCs w:val="32"/>
        </w:rPr>
        <w:t>三、偏离绩效目标的原因和下一步改进措施</w:t>
      </w:r>
    </w:p>
    <w:p w14:paraId="3ECA74DD">
      <w:pPr>
        <w:spacing w:line="560" w:lineRule="exact"/>
        <w:ind w:firstLine="600" w:firstLineChars="200"/>
        <w:rPr>
          <w:rFonts w:hint="eastAsia" w:eastAsia="仿宋_GB2312"/>
          <w:sz w:val="30"/>
          <w:szCs w:val="32"/>
        </w:rPr>
      </w:pPr>
      <w:r>
        <w:rPr>
          <w:rFonts w:hint="eastAsia" w:eastAsia="黑体"/>
          <w:bCs/>
          <w:sz w:val="30"/>
          <w:szCs w:val="32"/>
        </w:rPr>
        <w:t>无</w:t>
      </w:r>
    </w:p>
    <w:p w14:paraId="064F80C9">
      <w:pPr>
        <w:spacing w:line="560" w:lineRule="exact"/>
        <w:ind w:firstLine="600" w:firstLineChars="200"/>
        <w:rPr>
          <w:rFonts w:eastAsia="黑体"/>
          <w:bCs/>
          <w:sz w:val="30"/>
          <w:szCs w:val="32"/>
        </w:rPr>
      </w:pPr>
      <w:r>
        <w:rPr>
          <w:rFonts w:eastAsia="黑体"/>
          <w:bCs/>
          <w:sz w:val="30"/>
          <w:szCs w:val="32"/>
        </w:rPr>
        <w:t>四、绩效自评结果拟应用和公开情况</w:t>
      </w:r>
    </w:p>
    <w:p w14:paraId="143819EF">
      <w:pPr>
        <w:spacing w:line="560" w:lineRule="exact"/>
        <w:ind w:firstLine="640" w:firstLineChars="200"/>
        <w:rPr>
          <w:rFonts w:eastAsia="黑体"/>
          <w:bCs/>
          <w:sz w:val="30"/>
          <w:szCs w:val="32"/>
        </w:rPr>
      </w:pPr>
      <w:r>
        <w:rPr>
          <w:rFonts w:eastAsia="仿宋_GB2312"/>
          <w:color w:val="000000"/>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向社会公开，自觉接受社会各界监督，从而在强化评价结果导向机制方面发挥更大作用，为改进资金项目管理以及完善相关政策提供重要依据。</w:t>
      </w:r>
    </w:p>
    <w:p w14:paraId="56776BC8">
      <w:pPr>
        <w:spacing w:line="560" w:lineRule="exact"/>
        <w:ind w:firstLine="600" w:firstLineChars="200"/>
        <w:rPr>
          <w:rFonts w:eastAsia="黑体"/>
          <w:bCs/>
          <w:sz w:val="30"/>
          <w:szCs w:val="32"/>
        </w:rPr>
      </w:pPr>
      <w:r>
        <w:rPr>
          <w:rFonts w:eastAsia="黑体"/>
          <w:bCs/>
          <w:sz w:val="30"/>
          <w:szCs w:val="32"/>
        </w:rPr>
        <w:t>五、其他需要说明的问题</w:t>
      </w:r>
    </w:p>
    <w:p w14:paraId="7AE2DD8E">
      <w:pPr>
        <w:spacing w:line="560" w:lineRule="exact"/>
        <w:ind w:firstLine="640" w:firstLineChars="200"/>
        <w:rPr>
          <w:rFonts w:eastAsia="仿宋_GB2312"/>
          <w:sz w:val="32"/>
          <w:szCs w:val="32"/>
        </w:rPr>
      </w:pPr>
      <w:r>
        <w:rPr>
          <w:rFonts w:eastAsia="仿宋_GB2312"/>
          <w:sz w:val="32"/>
          <w:szCs w:val="32"/>
        </w:rPr>
        <w:t>无。</w:t>
      </w:r>
    </w:p>
    <w:p w14:paraId="206785F7">
      <w:pPr>
        <w:spacing w:line="560" w:lineRule="exact"/>
        <w:ind w:firstLine="640" w:firstLineChars="200"/>
        <w:rPr>
          <w:rFonts w:eastAsia="仿宋_GB2312"/>
          <w:sz w:val="32"/>
          <w:szCs w:val="32"/>
        </w:rPr>
      </w:pPr>
    </w:p>
    <w:p w14:paraId="070FE29D">
      <w:pPr>
        <w:spacing w:line="560" w:lineRule="exact"/>
        <w:ind w:firstLine="640" w:firstLineChars="200"/>
        <w:rPr>
          <w:rFonts w:eastAsia="仿宋_GB2312"/>
          <w:bCs/>
          <w:color w:val="000000"/>
          <w:sz w:val="32"/>
          <w:szCs w:val="32"/>
        </w:rPr>
      </w:pPr>
      <w:r>
        <w:rPr>
          <w:rFonts w:eastAsia="仿宋_GB2312"/>
          <w:color w:val="000000"/>
          <w:sz w:val="32"/>
          <w:szCs w:val="32"/>
        </w:rPr>
        <w:t>附</w:t>
      </w:r>
      <w:r>
        <w:rPr>
          <w:rFonts w:hint="eastAsia" w:eastAsia="仿宋_GB2312"/>
          <w:color w:val="000000"/>
          <w:sz w:val="32"/>
          <w:szCs w:val="32"/>
          <w:lang w:eastAsia="zh-CN"/>
        </w:rPr>
        <w:t>件</w:t>
      </w:r>
      <w:r>
        <w:rPr>
          <w:rFonts w:eastAsia="仿宋_GB2312"/>
          <w:color w:val="000000"/>
          <w:sz w:val="32"/>
          <w:szCs w:val="32"/>
        </w:rPr>
        <w:t>：</w:t>
      </w:r>
      <w:r>
        <w:rPr>
          <w:rFonts w:hint="eastAsia" w:eastAsia="仿宋_GB2312"/>
          <w:color w:val="000000"/>
          <w:sz w:val="32"/>
          <w:szCs w:val="32"/>
        </w:rPr>
        <w:t>天津市农田建设补助资金区域绩效目标自评表</w:t>
      </w:r>
    </w:p>
    <w:p w14:paraId="03E6486D">
      <w:pPr>
        <w:rPr>
          <w:rFonts w:eastAsia="黑体"/>
          <w:bCs/>
          <w:sz w:val="30"/>
          <w:szCs w:val="44"/>
        </w:rPr>
      </w:pPr>
    </w:p>
    <w:p w14:paraId="0A44E1EF">
      <w:pPr>
        <w:rPr>
          <w:rFonts w:eastAsia="黑体"/>
          <w:bCs/>
          <w:sz w:val="30"/>
          <w:szCs w:val="44"/>
        </w:rPr>
      </w:pPr>
    </w:p>
    <w:p w14:paraId="51E5D74E">
      <w:pPr>
        <w:rPr>
          <w:rFonts w:eastAsia="黑体"/>
          <w:bCs/>
          <w:sz w:val="30"/>
          <w:szCs w:val="44"/>
        </w:rPr>
      </w:pPr>
    </w:p>
    <w:p w14:paraId="264E9693">
      <w:pPr>
        <w:rPr>
          <w:rFonts w:eastAsia="黑体"/>
          <w:bCs/>
          <w:sz w:val="30"/>
          <w:szCs w:val="44"/>
        </w:rPr>
      </w:pPr>
    </w:p>
    <w:p w14:paraId="696D802E">
      <w:pPr>
        <w:rPr>
          <w:rFonts w:eastAsia="黑体"/>
          <w:bCs/>
          <w:sz w:val="30"/>
          <w:szCs w:val="44"/>
        </w:rPr>
      </w:pPr>
      <w:r>
        <w:rPr>
          <w:rFonts w:eastAsia="黑体"/>
          <w:bCs/>
          <w:sz w:val="30"/>
          <w:szCs w:val="44"/>
        </w:rPr>
        <w:t>附件6</w:t>
      </w:r>
    </w:p>
    <w:p w14:paraId="1C38F593">
      <w:pPr>
        <w:spacing w:line="560" w:lineRule="exact"/>
        <w:jc w:val="center"/>
        <w:rPr>
          <w:rFonts w:eastAsia="方正小标宋简体"/>
          <w:color w:val="auto"/>
          <w:sz w:val="40"/>
          <w:szCs w:val="44"/>
        </w:rPr>
      </w:pPr>
      <w:r>
        <w:rPr>
          <w:rFonts w:eastAsia="方正小标宋简体"/>
          <w:color w:val="auto"/>
          <w:sz w:val="40"/>
          <w:szCs w:val="44"/>
        </w:rPr>
        <w:t>天津市渔业发展补助资金转移支付</w:t>
      </w:r>
    </w:p>
    <w:p w14:paraId="1DC52530">
      <w:pPr>
        <w:spacing w:line="560" w:lineRule="exact"/>
        <w:jc w:val="center"/>
        <w:rPr>
          <w:rFonts w:eastAsia="方正小标宋简体"/>
          <w:color w:val="auto"/>
          <w:sz w:val="40"/>
          <w:szCs w:val="44"/>
        </w:rPr>
      </w:pPr>
      <w:r>
        <w:rPr>
          <w:rFonts w:eastAsia="方正小标宋简体"/>
          <w:color w:val="auto"/>
          <w:sz w:val="40"/>
          <w:szCs w:val="44"/>
        </w:rPr>
        <w:t>202</w:t>
      </w:r>
      <w:r>
        <w:rPr>
          <w:rFonts w:hint="eastAsia" w:eastAsia="方正小标宋简体"/>
          <w:color w:val="auto"/>
          <w:sz w:val="40"/>
          <w:szCs w:val="44"/>
        </w:rPr>
        <w:t>2</w:t>
      </w:r>
      <w:r>
        <w:rPr>
          <w:rFonts w:eastAsia="方正小标宋简体"/>
          <w:color w:val="auto"/>
          <w:sz w:val="40"/>
          <w:szCs w:val="44"/>
        </w:rPr>
        <w:t>年度绩效自评报告</w:t>
      </w:r>
    </w:p>
    <w:p w14:paraId="4A2B9032">
      <w:pPr>
        <w:spacing w:line="540" w:lineRule="exact"/>
        <w:ind w:firstLine="640" w:firstLineChars="200"/>
        <w:rPr>
          <w:rFonts w:eastAsia="黑体"/>
          <w:bCs/>
          <w:color w:val="auto"/>
          <w:sz w:val="32"/>
          <w:szCs w:val="32"/>
        </w:rPr>
      </w:pPr>
    </w:p>
    <w:p w14:paraId="53369835">
      <w:pPr>
        <w:spacing w:line="540" w:lineRule="exact"/>
        <w:ind w:firstLine="640" w:firstLineChars="200"/>
        <w:rPr>
          <w:rFonts w:eastAsia="黑体"/>
          <w:bCs/>
          <w:sz w:val="32"/>
          <w:szCs w:val="32"/>
        </w:rPr>
      </w:pPr>
      <w:r>
        <w:rPr>
          <w:rFonts w:eastAsia="黑体"/>
          <w:bCs/>
          <w:sz w:val="32"/>
          <w:szCs w:val="32"/>
        </w:rPr>
        <w:t>一、绩效目标分解下达情况</w:t>
      </w:r>
    </w:p>
    <w:p w14:paraId="0E201317">
      <w:pPr>
        <w:spacing w:line="540" w:lineRule="exact"/>
        <w:ind w:firstLine="643" w:firstLineChars="200"/>
        <w:rPr>
          <w:rFonts w:eastAsia="仿宋_GB2312"/>
          <w:sz w:val="32"/>
          <w:szCs w:val="32"/>
        </w:rPr>
      </w:pPr>
      <w:r>
        <w:rPr>
          <w:rFonts w:eastAsia="楷体_GB2312"/>
          <w:b/>
          <w:sz w:val="32"/>
          <w:szCs w:val="32"/>
        </w:rPr>
        <w:t>（一）中央下达预算和区域绩效目标情况。</w:t>
      </w:r>
      <w:r>
        <w:rPr>
          <w:rFonts w:eastAsia="仿宋_GB2312"/>
          <w:sz w:val="32"/>
          <w:szCs w:val="32"/>
        </w:rPr>
        <w:t>202</w:t>
      </w:r>
      <w:r>
        <w:rPr>
          <w:rFonts w:hint="eastAsia" w:eastAsia="仿宋_GB2312"/>
          <w:sz w:val="32"/>
          <w:szCs w:val="32"/>
        </w:rPr>
        <w:t>2</w:t>
      </w:r>
      <w:r>
        <w:rPr>
          <w:rFonts w:eastAsia="仿宋_GB2312"/>
          <w:sz w:val="32"/>
          <w:szCs w:val="32"/>
        </w:rPr>
        <w:t>年，中央下达我市渔业发展补助资金转移支付预算</w:t>
      </w:r>
      <w:r>
        <w:rPr>
          <w:rFonts w:hint="eastAsia" w:eastAsia="仿宋_GB2312"/>
          <w:sz w:val="32"/>
          <w:szCs w:val="32"/>
        </w:rPr>
        <w:t>3323</w:t>
      </w:r>
      <w:r>
        <w:rPr>
          <w:rFonts w:eastAsia="仿宋_GB2312"/>
          <w:sz w:val="32"/>
          <w:szCs w:val="32"/>
        </w:rPr>
        <w:t>万元，下达区域总体绩效目标为：“</w:t>
      </w:r>
      <w:r>
        <w:rPr>
          <w:rFonts w:hint="eastAsia" w:eastAsia="仿宋_GB2312"/>
          <w:sz w:val="32"/>
          <w:szCs w:val="32"/>
        </w:rPr>
        <w:t>推动渔业产业高质量持续绿色健康发展；提升远洋渔船履约能力；中央补助资金及时到位，完成年度建设任务</w:t>
      </w:r>
      <w:r>
        <w:rPr>
          <w:rFonts w:eastAsia="仿宋_GB2312"/>
          <w:sz w:val="32"/>
          <w:szCs w:val="32"/>
        </w:rPr>
        <w:t>”。</w:t>
      </w:r>
    </w:p>
    <w:p w14:paraId="73032C9B">
      <w:pPr>
        <w:spacing w:line="540" w:lineRule="exact"/>
        <w:ind w:firstLine="643" w:firstLineChars="200"/>
        <w:rPr>
          <w:rFonts w:eastAsia="仿宋_GB2312"/>
          <w:color w:val="000000"/>
          <w:sz w:val="32"/>
          <w:szCs w:val="32"/>
        </w:rPr>
      </w:pPr>
      <w:r>
        <w:rPr>
          <w:rFonts w:eastAsia="楷体_GB2312"/>
          <w:b/>
          <w:color w:val="000000"/>
          <w:sz w:val="32"/>
          <w:szCs w:val="32"/>
        </w:rPr>
        <w:t>（二）我市分解下达预算和绩效目标情况。</w:t>
      </w:r>
      <w:r>
        <w:rPr>
          <w:rFonts w:eastAsia="仿宋_GB2312"/>
          <w:color w:val="000000"/>
          <w:sz w:val="32"/>
          <w:szCs w:val="32"/>
        </w:rPr>
        <w:t>按照《财政部关于下达202</w:t>
      </w:r>
      <w:r>
        <w:rPr>
          <w:rFonts w:hint="eastAsia" w:eastAsia="仿宋_GB2312"/>
          <w:color w:val="000000"/>
          <w:sz w:val="32"/>
          <w:szCs w:val="32"/>
        </w:rPr>
        <w:t>2</w:t>
      </w:r>
      <w:r>
        <w:rPr>
          <w:rFonts w:eastAsia="仿宋_GB2312"/>
          <w:color w:val="000000"/>
          <w:sz w:val="32"/>
          <w:szCs w:val="32"/>
        </w:rPr>
        <w:t>年渔业发展补助资金预算的通知》（财农〔202</w:t>
      </w:r>
      <w:r>
        <w:rPr>
          <w:rFonts w:hint="eastAsia" w:eastAsia="仿宋_GB2312"/>
          <w:color w:val="000000"/>
          <w:sz w:val="32"/>
          <w:szCs w:val="32"/>
        </w:rPr>
        <w:t>2</w:t>
      </w:r>
      <w:r>
        <w:rPr>
          <w:rFonts w:eastAsia="仿宋_GB2312"/>
          <w:color w:val="000000"/>
          <w:sz w:val="32"/>
          <w:szCs w:val="32"/>
        </w:rPr>
        <w:t>〕</w:t>
      </w:r>
      <w:r>
        <w:rPr>
          <w:rFonts w:hint="eastAsia" w:eastAsia="仿宋_GB2312"/>
          <w:color w:val="000000"/>
          <w:sz w:val="32"/>
          <w:szCs w:val="32"/>
        </w:rPr>
        <w:t>26</w:t>
      </w:r>
      <w:r>
        <w:rPr>
          <w:rFonts w:eastAsia="仿宋_GB2312"/>
          <w:color w:val="000000"/>
          <w:sz w:val="32"/>
          <w:szCs w:val="32"/>
        </w:rPr>
        <w:t>号）要求，结合我市实际，20</w:t>
      </w:r>
      <w:r>
        <w:rPr>
          <w:rFonts w:hint="eastAsia" w:eastAsia="仿宋_GB2312"/>
          <w:color w:val="000000"/>
          <w:sz w:val="32"/>
          <w:szCs w:val="32"/>
        </w:rPr>
        <w:t>22</w:t>
      </w:r>
      <w:r>
        <w:rPr>
          <w:rFonts w:eastAsia="仿宋_GB2312"/>
          <w:color w:val="000000"/>
          <w:sz w:val="32"/>
          <w:szCs w:val="32"/>
        </w:rPr>
        <w:t>年5月，我市通过《天津市财政局关于下达中央财政202</w:t>
      </w:r>
      <w:r>
        <w:rPr>
          <w:rFonts w:hint="eastAsia" w:eastAsia="仿宋_GB2312"/>
          <w:color w:val="000000"/>
          <w:sz w:val="32"/>
          <w:szCs w:val="32"/>
        </w:rPr>
        <w:t>2</w:t>
      </w:r>
      <w:r>
        <w:rPr>
          <w:rFonts w:eastAsia="仿宋_GB2312"/>
          <w:color w:val="000000"/>
          <w:sz w:val="32"/>
          <w:szCs w:val="32"/>
        </w:rPr>
        <w:t>年渔业发展补助资金预算的通知》（津财农指〔202</w:t>
      </w:r>
      <w:r>
        <w:rPr>
          <w:rFonts w:hint="eastAsia" w:eastAsia="仿宋_GB2312"/>
          <w:color w:val="000000"/>
          <w:sz w:val="32"/>
          <w:szCs w:val="32"/>
        </w:rPr>
        <w:t>2</w:t>
      </w:r>
      <w:r>
        <w:rPr>
          <w:rFonts w:eastAsia="仿宋_GB2312"/>
          <w:color w:val="000000"/>
          <w:sz w:val="32"/>
          <w:szCs w:val="32"/>
        </w:rPr>
        <w:t>〕</w:t>
      </w:r>
      <w:r>
        <w:rPr>
          <w:rFonts w:hint="eastAsia" w:eastAsia="仿宋_GB2312"/>
          <w:color w:val="000000"/>
          <w:sz w:val="32"/>
          <w:szCs w:val="32"/>
        </w:rPr>
        <w:t>9</w:t>
      </w:r>
      <w:r>
        <w:rPr>
          <w:rFonts w:eastAsia="仿宋_GB2312"/>
          <w:color w:val="000000"/>
          <w:sz w:val="32"/>
          <w:szCs w:val="32"/>
        </w:rPr>
        <w:t>号）及时将中央财政资金和绩效目标等同步分解下达至</w:t>
      </w:r>
      <w:r>
        <w:rPr>
          <w:rFonts w:hint="eastAsia" w:eastAsia="仿宋_GB2312"/>
          <w:color w:val="000000"/>
          <w:sz w:val="32"/>
          <w:szCs w:val="32"/>
        </w:rPr>
        <w:t>相关区和部门</w:t>
      </w:r>
      <w:r>
        <w:rPr>
          <w:rFonts w:eastAsia="仿宋_GB2312"/>
          <w:color w:val="000000"/>
          <w:sz w:val="32"/>
          <w:szCs w:val="32"/>
        </w:rPr>
        <w:t>。</w:t>
      </w:r>
    </w:p>
    <w:p w14:paraId="6D5CE3C1">
      <w:pPr>
        <w:spacing w:line="540" w:lineRule="exact"/>
        <w:ind w:firstLine="640" w:firstLineChars="200"/>
        <w:rPr>
          <w:rFonts w:eastAsia="黑体"/>
          <w:bCs/>
          <w:sz w:val="32"/>
          <w:szCs w:val="32"/>
        </w:rPr>
      </w:pPr>
      <w:r>
        <w:rPr>
          <w:rFonts w:eastAsia="黑体"/>
          <w:bCs/>
          <w:sz w:val="32"/>
          <w:szCs w:val="32"/>
        </w:rPr>
        <w:t>二、绩效目标完成情况分析</w:t>
      </w:r>
    </w:p>
    <w:p w14:paraId="369494EC">
      <w:pPr>
        <w:spacing w:line="540" w:lineRule="exact"/>
        <w:ind w:firstLine="643" w:firstLineChars="200"/>
        <w:outlineLvl w:val="0"/>
        <w:rPr>
          <w:rFonts w:eastAsia="楷体_GB2312"/>
          <w:bCs/>
          <w:sz w:val="32"/>
          <w:szCs w:val="32"/>
        </w:rPr>
      </w:pPr>
      <w:r>
        <w:rPr>
          <w:rFonts w:eastAsia="楷体_GB2312"/>
          <w:b/>
          <w:bCs/>
          <w:sz w:val="32"/>
          <w:szCs w:val="32"/>
        </w:rPr>
        <w:t>（一）资金投入情况分析。</w:t>
      </w:r>
    </w:p>
    <w:p w14:paraId="652A3A76">
      <w:pPr>
        <w:spacing w:line="540" w:lineRule="exact"/>
        <w:ind w:firstLine="643" w:firstLineChars="200"/>
        <w:rPr>
          <w:rFonts w:eastAsia="仿宋_GB2312"/>
          <w:color w:val="000000"/>
          <w:sz w:val="32"/>
          <w:szCs w:val="32"/>
        </w:rPr>
      </w:pPr>
      <w:r>
        <w:rPr>
          <w:rFonts w:eastAsia="仿宋_GB2312"/>
          <w:b/>
          <w:color w:val="000000"/>
          <w:sz w:val="32"/>
          <w:szCs w:val="32"/>
        </w:rPr>
        <w:t>1.项目资金到位情况分析。</w:t>
      </w:r>
      <w:r>
        <w:rPr>
          <w:rFonts w:eastAsia="仿宋_GB2312"/>
          <w:color w:val="000000"/>
          <w:sz w:val="32"/>
          <w:szCs w:val="32"/>
        </w:rPr>
        <w:t>按照中央有关要求，202</w:t>
      </w:r>
      <w:r>
        <w:rPr>
          <w:rFonts w:hint="eastAsia" w:eastAsia="仿宋_GB2312"/>
          <w:color w:val="000000"/>
          <w:sz w:val="32"/>
          <w:szCs w:val="32"/>
        </w:rPr>
        <w:t>2</w:t>
      </w:r>
      <w:r>
        <w:rPr>
          <w:rFonts w:eastAsia="仿宋_GB2312"/>
          <w:color w:val="000000"/>
          <w:sz w:val="32"/>
          <w:szCs w:val="32"/>
        </w:rPr>
        <w:t>年5月，我市通过《天津市财政局关于下达中央财政202</w:t>
      </w:r>
      <w:r>
        <w:rPr>
          <w:rFonts w:hint="eastAsia" w:eastAsia="仿宋_GB2312"/>
          <w:color w:val="000000"/>
          <w:sz w:val="32"/>
          <w:szCs w:val="32"/>
        </w:rPr>
        <w:t>2</w:t>
      </w:r>
      <w:r>
        <w:rPr>
          <w:rFonts w:eastAsia="仿宋_GB2312"/>
          <w:color w:val="000000"/>
          <w:sz w:val="32"/>
          <w:szCs w:val="32"/>
        </w:rPr>
        <w:t>年渔业发展补助资金预算的通知》（津财农指〔202</w:t>
      </w:r>
      <w:r>
        <w:rPr>
          <w:rFonts w:hint="eastAsia" w:eastAsia="仿宋_GB2312"/>
          <w:color w:val="000000"/>
          <w:sz w:val="32"/>
          <w:szCs w:val="32"/>
        </w:rPr>
        <w:t>2</w:t>
      </w:r>
      <w:r>
        <w:rPr>
          <w:rFonts w:eastAsia="仿宋_GB2312"/>
          <w:color w:val="000000"/>
          <w:sz w:val="32"/>
          <w:szCs w:val="32"/>
        </w:rPr>
        <w:t>〕9号），将202</w:t>
      </w:r>
      <w:r>
        <w:rPr>
          <w:rFonts w:hint="eastAsia" w:eastAsia="仿宋_GB2312"/>
          <w:color w:val="000000"/>
          <w:sz w:val="32"/>
          <w:szCs w:val="32"/>
        </w:rPr>
        <w:t>2</w:t>
      </w:r>
      <w:r>
        <w:rPr>
          <w:rFonts w:eastAsia="仿宋_GB2312"/>
          <w:color w:val="000000"/>
          <w:sz w:val="32"/>
          <w:szCs w:val="32"/>
        </w:rPr>
        <w:t>年中央财政渔业发展补助资金预算</w:t>
      </w:r>
      <w:r>
        <w:rPr>
          <w:rFonts w:hint="eastAsia" w:eastAsia="仿宋_GB2312"/>
          <w:sz w:val="32"/>
          <w:szCs w:val="32"/>
        </w:rPr>
        <w:t>3323</w:t>
      </w:r>
      <w:r>
        <w:rPr>
          <w:rFonts w:eastAsia="仿宋_GB2312"/>
          <w:color w:val="000000"/>
          <w:sz w:val="32"/>
          <w:szCs w:val="32"/>
        </w:rPr>
        <w:t>万元全部下达至</w:t>
      </w:r>
      <w:r>
        <w:rPr>
          <w:rFonts w:hint="eastAsia" w:eastAsia="仿宋_GB2312"/>
          <w:color w:val="000000"/>
          <w:sz w:val="32"/>
          <w:szCs w:val="32"/>
        </w:rPr>
        <w:t>相关单位，其中市农业农村委及所属单位9</w:t>
      </w:r>
      <w:r>
        <w:rPr>
          <w:rFonts w:eastAsia="仿宋_GB2312"/>
          <w:color w:val="000000"/>
          <w:sz w:val="32"/>
          <w:szCs w:val="32"/>
        </w:rPr>
        <w:t>34</w:t>
      </w:r>
      <w:r>
        <w:rPr>
          <w:rFonts w:hint="eastAsia" w:eastAsia="仿宋_GB2312"/>
          <w:color w:val="000000"/>
          <w:sz w:val="32"/>
          <w:szCs w:val="32"/>
        </w:rPr>
        <w:t>万元，滨海新区1</w:t>
      </w:r>
      <w:r>
        <w:rPr>
          <w:rFonts w:eastAsia="仿宋_GB2312"/>
          <w:color w:val="000000"/>
          <w:sz w:val="32"/>
          <w:szCs w:val="32"/>
        </w:rPr>
        <w:t>243</w:t>
      </w:r>
      <w:r>
        <w:rPr>
          <w:rFonts w:hint="eastAsia" w:eastAsia="仿宋_GB2312"/>
          <w:color w:val="000000"/>
          <w:sz w:val="32"/>
          <w:szCs w:val="32"/>
        </w:rPr>
        <w:t>万元，宝坻区1</w:t>
      </w:r>
      <w:r>
        <w:rPr>
          <w:rFonts w:eastAsia="仿宋_GB2312"/>
          <w:color w:val="000000"/>
          <w:sz w:val="32"/>
          <w:szCs w:val="32"/>
        </w:rPr>
        <w:t>146</w:t>
      </w:r>
      <w:r>
        <w:rPr>
          <w:rFonts w:hint="eastAsia" w:eastAsia="仿宋_GB2312"/>
          <w:color w:val="000000"/>
          <w:sz w:val="32"/>
          <w:szCs w:val="32"/>
        </w:rPr>
        <w:t>万元</w:t>
      </w:r>
      <w:r>
        <w:rPr>
          <w:rFonts w:eastAsia="仿宋_GB2312"/>
          <w:color w:val="000000"/>
          <w:sz w:val="32"/>
          <w:szCs w:val="32"/>
        </w:rPr>
        <w:t>。</w:t>
      </w:r>
    </w:p>
    <w:p w14:paraId="27EB1A00">
      <w:pPr>
        <w:spacing w:line="540" w:lineRule="exact"/>
        <w:ind w:firstLine="643" w:firstLineChars="200"/>
        <w:rPr>
          <w:rFonts w:eastAsia="仿宋_GB2312"/>
          <w:color w:val="000000"/>
          <w:sz w:val="32"/>
          <w:szCs w:val="32"/>
        </w:rPr>
      </w:pPr>
      <w:r>
        <w:rPr>
          <w:rFonts w:eastAsia="仿宋_GB2312"/>
          <w:b/>
          <w:color w:val="000000"/>
          <w:sz w:val="32"/>
          <w:szCs w:val="32"/>
        </w:rPr>
        <w:t>2.项目资金执行情况分析。</w:t>
      </w:r>
      <w:r>
        <w:rPr>
          <w:rFonts w:eastAsia="仿宋_GB2312"/>
          <w:color w:val="000000"/>
          <w:sz w:val="32"/>
          <w:szCs w:val="32"/>
        </w:rPr>
        <w:t>年度资金总额</w:t>
      </w:r>
      <w:r>
        <w:rPr>
          <w:rFonts w:hint="eastAsia" w:eastAsia="仿宋_GB2312"/>
          <w:color w:val="000000"/>
          <w:sz w:val="32"/>
          <w:szCs w:val="32"/>
        </w:rPr>
        <w:t>3323</w:t>
      </w:r>
      <w:r>
        <w:rPr>
          <w:rFonts w:eastAsia="仿宋_GB2312"/>
          <w:color w:val="000000"/>
          <w:sz w:val="32"/>
          <w:szCs w:val="32"/>
        </w:rPr>
        <w:t>万元，已执</w:t>
      </w:r>
      <w:r>
        <w:rPr>
          <w:rFonts w:eastAsia="仿宋_GB2312"/>
          <w:sz w:val="32"/>
          <w:szCs w:val="32"/>
        </w:rPr>
        <w:t>行2733万元，执行率82.2%，全部为中央资金。</w:t>
      </w:r>
    </w:p>
    <w:p w14:paraId="2B89A706">
      <w:pPr>
        <w:spacing w:line="540" w:lineRule="exact"/>
        <w:ind w:firstLine="643" w:firstLineChars="200"/>
        <w:rPr>
          <w:rFonts w:eastAsia="仿宋_GB2312"/>
          <w:sz w:val="32"/>
          <w:szCs w:val="32"/>
        </w:rPr>
      </w:pPr>
      <w:r>
        <w:rPr>
          <w:rFonts w:eastAsia="仿宋_GB2312"/>
          <w:b/>
          <w:color w:val="000000"/>
          <w:sz w:val="32"/>
          <w:szCs w:val="32"/>
        </w:rPr>
        <w:t>3.项目资金管理情况分析。</w:t>
      </w:r>
      <w:r>
        <w:rPr>
          <w:rFonts w:eastAsia="仿宋_GB2312"/>
          <w:sz w:val="32"/>
          <w:szCs w:val="32"/>
        </w:rPr>
        <w:t>为加强和规范渔业发展补助资金管理，推进渔业高质量发展，按照《财政部农业农村部关于印发&lt;渔业发展补助资金管理办法&gt;的通知》（财农〔2021〕24号）等文件要求</w:t>
      </w:r>
      <w:r>
        <w:rPr>
          <w:rFonts w:hint="eastAsia" w:eastAsia="仿宋_GB2312"/>
          <w:sz w:val="32"/>
          <w:szCs w:val="32"/>
          <w:lang w:eastAsia="zh-CN"/>
        </w:rPr>
        <w:t>，</w:t>
      </w:r>
      <w:r>
        <w:rPr>
          <w:rFonts w:eastAsia="仿宋_GB2312"/>
          <w:sz w:val="32"/>
          <w:szCs w:val="32"/>
        </w:rPr>
        <w:t>为做好我市“十四五”期间渔业发展支持政策实施工作，我市结合实际印发了《市农业农村委 市财政局关于印发天津市落实渔业发展支持政策总体实施方案（2021－2025年）的通知》，明确了至2025年全市渔业发展的指导思想、工作原则、目标任务、支持重点、保障措施等方面内容，并按照项目制定了具体实施方案，提出了实施各类项目的具体要求。</w:t>
      </w:r>
    </w:p>
    <w:p w14:paraId="696AC142">
      <w:pPr>
        <w:spacing w:line="540" w:lineRule="exact"/>
        <w:ind w:firstLine="643" w:firstLineChars="200"/>
        <w:outlineLvl w:val="0"/>
        <w:rPr>
          <w:rFonts w:eastAsia="仿宋_GB2312"/>
          <w:color w:val="auto"/>
          <w:sz w:val="32"/>
          <w:szCs w:val="32"/>
        </w:rPr>
      </w:pPr>
      <w:r>
        <w:rPr>
          <w:rFonts w:eastAsia="楷体_GB2312"/>
          <w:b/>
          <w:bCs/>
          <w:sz w:val="32"/>
          <w:szCs w:val="32"/>
        </w:rPr>
        <w:t>（二）总体绩效目标完成情况分析。</w:t>
      </w:r>
      <w:r>
        <w:rPr>
          <w:rFonts w:eastAsia="仿宋_GB2312"/>
          <w:color w:val="000000"/>
          <w:sz w:val="32"/>
          <w:szCs w:val="32"/>
        </w:rPr>
        <w:t>2021年财政部下达我市</w:t>
      </w:r>
      <w:r>
        <w:rPr>
          <w:rFonts w:eastAsia="仿宋_GB2312"/>
          <w:color w:val="auto"/>
          <w:sz w:val="32"/>
          <w:szCs w:val="32"/>
        </w:rPr>
        <w:t>区域总体绩效目标为：“</w:t>
      </w:r>
      <w:r>
        <w:rPr>
          <w:rFonts w:hint="eastAsia" w:eastAsia="仿宋_GB2312"/>
          <w:color w:val="auto"/>
          <w:sz w:val="32"/>
          <w:szCs w:val="32"/>
        </w:rPr>
        <w:t>推动渔业产业高质量持续绿色健康发展；提升远洋渔船履约能力；中央补助资金及时到位，完成年度建设任务</w:t>
      </w:r>
      <w:r>
        <w:rPr>
          <w:rFonts w:eastAsia="仿宋_GB2312"/>
          <w:color w:val="auto"/>
          <w:sz w:val="32"/>
          <w:szCs w:val="32"/>
        </w:rPr>
        <w:t>”。全年实际完成情如下：</w:t>
      </w:r>
      <w:r>
        <w:rPr>
          <w:rFonts w:hint="eastAsia" w:eastAsia="仿宋_GB2312"/>
          <w:color w:val="auto"/>
          <w:sz w:val="32"/>
          <w:szCs w:val="32"/>
        </w:rPr>
        <w:t>通过实施远洋渔船奖补、养殖池塘标准化改造、渔船更新改造等项目，对15船远洋渔船给予奖补，改造养殖池塘3485亩，更新改造近海渔船及远洋船设施28艘，实现渔业产业高质量发展，渔业企业及渔民收增加。</w:t>
      </w:r>
    </w:p>
    <w:p w14:paraId="3F5376EA">
      <w:pPr>
        <w:spacing w:line="540" w:lineRule="exact"/>
        <w:ind w:firstLine="643" w:firstLineChars="200"/>
        <w:outlineLvl w:val="0"/>
        <w:rPr>
          <w:rFonts w:eastAsia="楷体_GB2312"/>
          <w:b/>
          <w:bCs/>
          <w:color w:val="auto"/>
          <w:sz w:val="32"/>
          <w:szCs w:val="32"/>
        </w:rPr>
      </w:pPr>
      <w:r>
        <w:rPr>
          <w:rFonts w:eastAsia="楷体_GB2312"/>
          <w:b/>
          <w:bCs/>
          <w:color w:val="auto"/>
          <w:sz w:val="32"/>
          <w:szCs w:val="32"/>
        </w:rPr>
        <w:t>（三）绩效指标完成情况分析。</w:t>
      </w:r>
    </w:p>
    <w:p w14:paraId="28646CDE">
      <w:pPr>
        <w:spacing w:line="540" w:lineRule="exact"/>
        <w:ind w:firstLine="640" w:firstLineChars="200"/>
        <w:rPr>
          <w:rFonts w:eastAsia="仿宋_GB2312"/>
          <w:b/>
          <w:color w:val="auto"/>
          <w:sz w:val="32"/>
          <w:szCs w:val="32"/>
        </w:rPr>
      </w:pPr>
      <w:r>
        <w:rPr>
          <w:rFonts w:eastAsia="仿宋_GB2312"/>
          <w:color w:val="auto"/>
          <w:sz w:val="32"/>
          <w:szCs w:val="32"/>
        </w:rPr>
        <w:t>全年共下达绩效指标1</w:t>
      </w:r>
      <w:r>
        <w:rPr>
          <w:rFonts w:hint="eastAsia" w:eastAsia="仿宋_GB2312"/>
          <w:color w:val="auto"/>
          <w:sz w:val="32"/>
          <w:szCs w:val="32"/>
        </w:rPr>
        <w:t>2</w:t>
      </w:r>
      <w:r>
        <w:rPr>
          <w:rFonts w:eastAsia="仿宋_GB2312"/>
          <w:color w:val="auto"/>
          <w:sz w:val="32"/>
          <w:szCs w:val="32"/>
        </w:rPr>
        <w:t>个，完成10个，未完成2个。</w:t>
      </w:r>
    </w:p>
    <w:p w14:paraId="43B09FD5">
      <w:pPr>
        <w:spacing w:line="540" w:lineRule="exact"/>
        <w:ind w:firstLine="640" w:firstLineChars="200"/>
        <w:rPr>
          <w:rFonts w:eastAsia="仿宋_GB2312"/>
          <w:color w:val="auto"/>
          <w:sz w:val="32"/>
          <w:szCs w:val="32"/>
        </w:rPr>
      </w:pPr>
      <w:r>
        <w:rPr>
          <w:rFonts w:eastAsia="仿宋_GB2312"/>
          <w:color w:val="auto"/>
          <w:sz w:val="32"/>
          <w:szCs w:val="32"/>
        </w:rPr>
        <w:t>1.产出指标</w:t>
      </w:r>
      <w:r>
        <w:rPr>
          <w:rFonts w:hint="eastAsia" w:eastAsia="仿宋_GB2312"/>
          <w:color w:val="auto"/>
          <w:sz w:val="32"/>
          <w:szCs w:val="32"/>
        </w:rPr>
        <w:t>8</w:t>
      </w:r>
      <w:r>
        <w:rPr>
          <w:rFonts w:eastAsia="仿宋_GB2312"/>
          <w:color w:val="auto"/>
          <w:sz w:val="32"/>
          <w:szCs w:val="32"/>
        </w:rPr>
        <w:t>个，完成7个，未完成1个。</w:t>
      </w:r>
    </w:p>
    <w:p w14:paraId="6E9BC9D3">
      <w:pPr>
        <w:spacing w:line="540" w:lineRule="exact"/>
        <w:ind w:firstLine="640" w:firstLineChars="200"/>
        <w:rPr>
          <w:rFonts w:eastAsia="仿宋_GB2312"/>
          <w:sz w:val="32"/>
          <w:szCs w:val="32"/>
        </w:rPr>
      </w:pPr>
      <w:r>
        <w:rPr>
          <w:rFonts w:eastAsia="仿宋_GB2312"/>
          <w:color w:val="auto"/>
          <w:sz w:val="32"/>
          <w:szCs w:val="32"/>
        </w:rPr>
        <w:t>一是数量指标7个，完成</w:t>
      </w:r>
      <w:r>
        <w:rPr>
          <w:rFonts w:hint="eastAsia" w:eastAsia="仿宋_GB2312"/>
          <w:color w:val="auto"/>
          <w:sz w:val="32"/>
          <w:szCs w:val="32"/>
          <w:lang w:val="en-US" w:eastAsia="zh-CN"/>
        </w:rPr>
        <w:t>5</w:t>
      </w:r>
      <w:r>
        <w:rPr>
          <w:rFonts w:eastAsia="仿宋_GB2312"/>
          <w:color w:val="auto"/>
          <w:sz w:val="32"/>
          <w:szCs w:val="32"/>
        </w:rPr>
        <w:t>个，</w:t>
      </w:r>
      <w:r>
        <w:rPr>
          <w:rFonts w:hint="eastAsia" w:eastAsia="仿宋_GB2312"/>
          <w:color w:val="auto"/>
          <w:sz w:val="32"/>
          <w:szCs w:val="32"/>
        </w:rPr>
        <w:t>未完成</w:t>
      </w:r>
      <w:r>
        <w:rPr>
          <w:rFonts w:hint="eastAsia" w:eastAsia="仿宋_GB2312"/>
          <w:color w:val="auto"/>
          <w:sz w:val="32"/>
          <w:szCs w:val="32"/>
          <w:lang w:val="en-US" w:eastAsia="zh-CN"/>
        </w:rPr>
        <w:t>2</w:t>
      </w:r>
      <w:r>
        <w:rPr>
          <w:rFonts w:eastAsia="仿宋_GB2312"/>
          <w:color w:val="auto"/>
          <w:sz w:val="32"/>
          <w:szCs w:val="32"/>
        </w:rPr>
        <w:t>个。</w:t>
      </w:r>
      <w:r>
        <w:rPr>
          <w:rFonts w:hint="eastAsia" w:eastAsia="仿宋_GB2312"/>
          <w:color w:val="auto"/>
          <w:sz w:val="32"/>
          <w:szCs w:val="32"/>
        </w:rPr>
        <w:t>完成近海渔船更新改造2艘、</w:t>
      </w:r>
      <w:r>
        <w:rPr>
          <w:rFonts w:hint="eastAsia" w:eastAsia="仿宋_GB2312"/>
          <w:color w:val="auto"/>
          <w:sz w:val="32"/>
          <w:szCs w:val="32"/>
          <w:lang w:eastAsia="zh-CN"/>
        </w:rPr>
        <w:t>近海渔船船上设备更新改造</w:t>
      </w:r>
      <w:r>
        <w:rPr>
          <w:rFonts w:hint="eastAsia" w:eastAsia="仿宋_GB2312"/>
          <w:color w:val="auto"/>
          <w:sz w:val="32"/>
          <w:szCs w:val="32"/>
          <w:lang w:val="en-US" w:eastAsia="zh-CN"/>
        </w:rPr>
        <w:t>0台（套）未完成任务</w:t>
      </w:r>
      <w:r>
        <w:rPr>
          <w:rFonts w:hint="eastAsia" w:eastAsia="仿宋_GB2312"/>
          <w:color w:val="auto"/>
          <w:sz w:val="32"/>
          <w:szCs w:val="32"/>
          <w:lang w:eastAsia="zh-CN"/>
        </w:rPr>
        <w:t>、</w:t>
      </w:r>
      <w:r>
        <w:rPr>
          <w:rFonts w:hint="eastAsia" w:eastAsia="仿宋_GB2312"/>
          <w:color w:val="auto"/>
          <w:sz w:val="32"/>
          <w:szCs w:val="32"/>
        </w:rPr>
        <w:t>远洋渔船船上设备更新改造2</w:t>
      </w:r>
      <w:r>
        <w:rPr>
          <w:rFonts w:eastAsia="仿宋_GB2312"/>
          <w:color w:val="auto"/>
          <w:sz w:val="32"/>
          <w:szCs w:val="32"/>
        </w:rPr>
        <w:t>6</w:t>
      </w:r>
      <w:r>
        <w:rPr>
          <w:rFonts w:hint="eastAsia" w:eastAsia="仿宋_GB2312"/>
          <w:color w:val="auto"/>
          <w:sz w:val="32"/>
          <w:szCs w:val="32"/>
        </w:rPr>
        <w:t>套、内陆养殖池塘标准化改造3</w:t>
      </w:r>
      <w:r>
        <w:rPr>
          <w:rFonts w:eastAsia="仿宋_GB2312"/>
          <w:color w:val="auto"/>
          <w:sz w:val="32"/>
          <w:szCs w:val="32"/>
        </w:rPr>
        <w:t>485</w:t>
      </w:r>
      <w:r>
        <w:rPr>
          <w:rFonts w:hint="eastAsia" w:eastAsia="仿宋_GB2312"/>
          <w:color w:val="auto"/>
          <w:sz w:val="32"/>
          <w:szCs w:val="32"/>
        </w:rPr>
        <w:t>亩、</w:t>
      </w:r>
      <w:r>
        <w:rPr>
          <w:rFonts w:eastAsia="仿宋_GB2312"/>
          <w:color w:val="auto"/>
          <w:sz w:val="32"/>
          <w:szCs w:val="32"/>
        </w:rPr>
        <w:t>对履约养护国际渔业资源的15艘远洋渔船奖补工作</w:t>
      </w:r>
      <w:r>
        <w:rPr>
          <w:rFonts w:hint="eastAsia" w:eastAsia="仿宋_GB2312"/>
          <w:color w:val="auto"/>
          <w:sz w:val="32"/>
          <w:szCs w:val="32"/>
        </w:rPr>
        <w:t>以及近岸近</w:t>
      </w:r>
      <w:r>
        <w:rPr>
          <w:rFonts w:hint="eastAsia" w:eastAsia="仿宋_GB2312"/>
          <w:sz w:val="32"/>
          <w:szCs w:val="32"/>
        </w:rPr>
        <w:t>海外海调查站1</w:t>
      </w:r>
      <w:r>
        <w:rPr>
          <w:rFonts w:eastAsia="仿宋_GB2312"/>
          <w:sz w:val="32"/>
          <w:szCs w:val="32"/>
        </w:rPr>
        <w:t>0</w:t>
      </w:r>
      <w:r>
        <w:rPr>
          <w:rFonts w:hint="eastAsia" w:eastAsia="仿宋_GB2312"/>
          <w:sz w:val="32"/>
          <w:szCs w:val="32"/>
        </w:rPr>
        <w:t>个</w:t>
      </w:r>
      <w:r>
        <w:rPr>
          <w:rFonts w:eastAsia="仿宋_GB2312"/>
          <w:sz w:val="32"/>
          <w:szCs w:val="32"/>
        </w:rPr>
        <w:t>，</w:t>
      </w:r>
      <w:bookmarkStart w:id="0" w:name="_Hlk134867287"/>
      <w:r>
        <w:rPr>
          <w:rFonts w:hint="eastAsia" w:eastAsia="仿宋_GB2312"/>
          <w:sz w:val="32"/>
          <w:szCs w:val="32"/>
        </w:rPr>
        <w:t>水产品初加工和冷藏保鲜设备购置</w:t>
      </w:r>
      <w:bookmarkEnd w:id="0"/>
      <w:r>
        <w:rPr>
          <w:rFonts w:hint="eastAsia" w:eastAsia="仿宋_GB2312"/>
          <w:sz w:val="32"/>
          <w:szCs w:val="32"/>
        </w:rPr>
        <w:t>任务正在施工期，预计将于2</w:t>
      </w:r>
      <w:r>
        <w:rPr>
          <w:rFonts w:eastAsia="仿宋_GB2312"/>
          <w:sz w:val="32"/>
          <w:szCs w:val="32"/>
        </w:rPr>
        <w:t>023</w:t>
      </w:r>
      <w:r>
        <w:rPr>
          <w:rFonts w:hint="eastAsia" w:eastAsia="仿宋_GB2312"/>
          <w:sz w:val="32"/>
          <w:szCs w:val="32"/>
        </w:rPr>
        <w:t>年底前完成</w:t>
      </w:r>
      <w:r>
        <w:rPr>
          <w:rFonts w:eastAsia="仿宋_GB2312"/>
          <w:sz w:val="32"/>
          <w:szCs w:val="32"/>
        </w:rPr>
        <w:t>。</w:t>
      </w:r>
    </w:p>
    <w:p w14:paraId="33A33DF3">
      <w:pPr>
        <w:spacing w:line="540" w:lineRule="exact"/>
        <w:ind w:firstLine="640" w:firstLineChars="200"/>
        <w:rPr>
          <w:rFonts w:eastAsia="仿宋_GB2312"/>
          <w:color w:val="auto"/>
          <w:sz w:val="32"/>
          <w:szCs w:val="32"/>
        </w:rPr>
      </w:pPr>
      <w:bookmarkStart w:id="1" w:name="_Hlk100668614"/>
      <w:r>
        <w:rPr>
          <w:rFonts w:eastAsia="仿宋_GB2312"/>
          <w:color w:val="auto"/>
          <w:sz w:val="32"/>
          <w:szCs w:val="32"/>
        </w:rPr>
        <w:t>二是质量指标1个，未完成。渔业产业结构持续优化，渔业一产产值占比92%，未达到占比50%以下的要求。</w:t>
      </w:r>
    </w:p>
    <w:bookmarkEnd w:id="1"/>
    <w:p w14:paraId="2C955027">
      <w:pPr>
        <w:spacing w:line="540" w:lineRule="exact"/>
        <w:ind w:firstLine="640" w:firstLineChars="200"/>
        <w:rPr>
          <w:rFonts w:eastAsia="仿宋_GB2312"/>
          <w:sz w:val="32"/>
          <w:szCs w:val="32"/>
        </w:rPr>
      </w:pPr>
      <w:r>
        <w:rPr>
          <w:rFonts w:eastAsia="仿宋_GB2312"/>
          <w:sz w:val="32"/>
          <w:szCs w:val="32"/>
        </w:rPr>
        <w:t>2.效益指标3个，全部完成。</w:t>
      </w:r>
    </w:p>
    <w:p w14:paraId="151D5975">
      <w:pPr>
        <w:spacing w:line="540" w:lineRule="exact"/>
        <w:ind w:firstLine="640" w:firstLineChars="200"/>
        <w:rPr>
          <w:rFonts w:eastAsia="仿宋_GB2312"/>
          <w:sz w:val="32"/>
          <w:szCs w:val="32"/>
        </w:rPr>
      </w:pPr>
      <w:r>
        <w:rPr>
          <w:rFonts w:eastAsia="仿宋_GB2312"/>
          <w:sz w:val="32"/>
          <w:szCs w:val="32"/>
        </w:rPr>
        <w:t>一是经济效益指标1个。通过项目的实施，对渔业经济发展的促进作用明显。</w:t>
      </w:r>
    </w:p>
    <w:p w14:paraId="76A105C6">
      <w:pPr>
        <w:spacing w:line="540" w:lineRule="exact"/>
        <w:ind w:firstLine="640" w:firstLineChars="200"/>
        <w:rPr>
          <w:rFonts w:eastAsia="仿宋_GB2312"/>
          <w:sz w:val="32"/>
          <w:szCs w:val="32"/>
        </w:rPr>
      </w:pPr>
      <w:r>
        <w:rPr>
          <w:rFonts w:eastAsia="仿宋_GB2312"/>
          <w:sz w:val="32"/>
          <w:szCs w:val="32"/>
        </w:rPr>
        <w:t>二是社会效益指标2个。资金使用无重大违规违纪问题，海洋渔业资源持续好转。</w:t>
      </w:r>
    </w:p>
    <w:p w14:paraId="41FA788F">
      <w:pPr>
        <w:spacing w:line="540" w:lineRule="exact"/>
        <w:ind w:firstLine="640" w:firstLineChars="200"/>
        <w:rPr>
          <w:rFonts w:eastAsia="仿宋_GB2312"/>
          <w:sz w:val="32"/>
          <w:szCs w:val="32"/>
          <w:highlight w:val="yellow"/>
        </w:rPr>
      </w:pPr>
      <w:r>
        <w:rPr>
          <w:rFonts w:eastAsia="仿宋_GB2312"/>
          <w:sz w:val="32"/>
          <w:szCs w:val="32"/>
        </w:rPr>
        <w:t>3.满意度指标1个，全部完成。渔业绿色循环发展满意度85%。</w:t>
      </w:r>
    </w:p>
    <w:p w14:paraId="1E92DD3D">
      <w:pPr>
        <w:spacing w:line="540" w:lineRule="exact"/>
        <w:ind w:firstLine="600" w:firstLineChars="200"/>
        <w:rPr>
          <w:rFonts w:eastAsia="仿宋_GB2312"/>
          <w:sz w:val="30"/>
          <w:szCs w:val="32"/>
        </w:rPr>
      </w:pPr>
      <w:r>
        <w:rPr>
          <w:rFonts w:eastAsia="黑体"/>
          <w:bCs/>
          <w:sz w:val="30"/>
          <w:szCs w:val="32"/>
        </w:rPr>
        <w:t>三、偏离绩效目标的原因和下一步改进措施</w:t>
      </w:r>
    </w:p>
    <w:p w14:paraId="27B6F7A4">
      <w:pPr>
        <w:spacing w:line="540" w:lineRule="exact"/>
        <w:ind w:firstLine="640" w:firstLineChars="200"/>
        <w:rPr>
          <w:rFonts w:hint="default" w:eastAsia="仿宋_GB2312"/>
          <w:sz w:val="32"/>
          <w:szCs w:val="32"/>
          <w:lang w:val="en-US" w:eastAsia="zh-CN"/>
        </w:rPr>
      </w:pPr>
      <w:r>
        <w:rPr>
          <w:rFonts w:eastAsia="仿宋_GB2312"/>
          <w:sz w:val="32"/>
          <w:szCs w:val="32"/>
        </w:rPr>
        <w:t>一是</w:t>
      </w:r>
      <w:r>
        <w:rPr>
          <w:rFonts w:hint="eastAsia" w:eastAsia="仿宋_GB2312"/>
          <w:sz w:val="32"/>
          <w:szCs w:val="32"/>
          <w:lang w:eastAsia="zh-CN"/>
        </w:rPr>
        <w:t>近海渔船船上设备更新改造</w:t>
      </w:r>
      <w:r>
        <w:rPr>
          <w:rFonts w:hint="eastAsia" w:eastAsia="仿宋_GB2312"/>
          <w:sz w:val="32"/>
          <w:szCs w:val="32"/>
          <w:lang w:val="en-US" w:eastAsia="zh-CN"/>
        </w:rPr>
        <w:t>18台（套）任务未能完成，主要原因是近年天津近海大部分渔船已进行了船上设施设备更新改造，目前渔民更新改造愿意不强，因此我市结合实际将资金调整用于近海渔船更新改造项目，在今后的工作中，我们将进一步加强预算编制的科学性、准确性，确保资金安排与工作实际紧密结合，充分发挥财政资金的效益。</w:t>
      </w:r>
    </w:p>
    <w:p w14:paraId="71ED4E82">
      <w:pPr>
        <w:spacing w:line="540" w:lineRule="exact"/>
        <w:ind w:firstLine="640" w:firstLineChars="200"/>
        <w:rPr>
          <w:rFonts w:eastAsia="仿宋_GB2312"/>
          <w:sz w:val="32"/>
          <w:szCs w:val="32"/>
        </w:rPr>
      </w:pPr>
      <w:r>
        <w:rPr>
          <w:rFonts w:hint="eastAsia" w:eastAsia="仿宋_GB2312"/>
          <w:sz w:val="32"/>
          <w:szCs w:val="32"/>
          <w:lang w:eastAsia="zh-CN"/>
        </w:rPr>
        <w:t>二是</w:t>
      </w:r>
      <w:r>
        <w:rPr>
          <w:rFonts w:hint="eastAsia" w:eastAsia="仿宋_GB2312"/>
          <w:sz w:val="32"/>
          <w:szCs w:val="32"/>
        </w:rPr>
        <w:t>水产品初加工和冷藏保鲜设备购置任务</w:t>
      </w:r>
      <w:r>
        <w:rPr>
          <w:rFonts w:eastAsia="仿宋_GB2312"/>
          <w:sz w:val="32"/>
          <w:szCs w:val="32"/>
        </w:rPr>
        <w:t>，尚在实施期，预计2023年内完工，因此造成指标暂未完成。下一步，我市将督促</w:t>
      </w:r>
      <w:r>
        <w:rPr>
          <w:rFonts w:hint="eastAsia" w:eastAsia="仿宋_GB2312"/>
          <w:sz w:val="32"/>
          <w:szCs w:val="32"/>
        </w:rPr>
        <w:t>宝坻</w:t>
      </w:r>
      <w:r>
        <w:rPr>
          <w:rFonts w:eastAsia="仿宋_GB2312"/>
          <w:sz w:val="32"/>
          <w:szCs w:val="32"/>
        </w:rPr>
        <w:t>区，按照实施方案加快项目实施进度，力争按期完成各项工作任务。</w:t>
      </w:r>
    </w:p>
    <w:p w14:paraId="15AA5B80">
      <w:pPr>
        <w:spacing w:line="540" w:lineRule="exact"/>
        <w:ind w:firstLine="640" w:firstLineChars="200"/>
        <w:rPr>
          <w:rFonts w:eastAsia="仿宋_GB2312"/>
          <w:sz w:val="32"/>
          <w:szCs w:val="32"/>
        </w:rPr>
      </w:pPr>
      <w:r>
        <w:rPr>
          <w:rFonts w:hint="eastAsia" w:eastAsia="仿宋_GB2312"/>
          <w:sz w:val="32"/>
          <w:szCs w:val="32"/>
          <w:lang w:eastAsia="zh-CN"/>
        </w:rPr>
        <w:t>三</w:t>
      </w:r>
      <w:r>
        <w:rPr>
          <w:rFonts w:eastAsia="仿宋_GB2312"/>
          <w:sz w:val="32"/>
          <w:szCs w:val="32"/>
        </w:rPr>
        <w:t>是</w:t>
      </w:r>
      <w:r>
        <w:rPr>
          <w:rFonts w:eastAsia="仿宋_GB2312"/>
          <w:color w:val="000000"/>
          <w:sz w:val="32"/>
          <w:szCs w:val="32"/>
        </w:rPr>
        <w:t>渔业一产产值占比92%，主要原因在于受本地水产品消费习惯影响，群众倾向于鲜活水产品消费，同时各地疫情频发，对渔业饲料生产、渔业流通和服务业影响较大。下一步，我市将进一步加大对优化调整渔业产业结构，结合天津市滨海新区国家现代农业产业园建设项目，加大对渔业工业和建筑业投资，在严格防疫措施的前提下，多措并举，推动疫情期间渔业流通和服务业发展。</w:t>
      </w:r>
    </w:p>
    <w:p w14:paraId="38022DAB">
      <w:pPr>
        <w:spacing w:line="540" w:lineRule="exact"/>
        <w:ind w:firstLine="600" w:firstLineChars="200"/>
        <w:rPr>
          <w:rFonts w:eastAsia="黑体"/>
          <w:bCs/>
          <w:sz w:val="30"/>
          <w:szCs w:val="32"/>
        </w:rPr>
      </w:pPr>
      <w:r>
        <w:rPr>
          <w:rFonts w:eastAsia="黑体"/>
          <w:bCs/>
          <w:sz w:val="30"/>
          <w:szCs w:val="32"/>
        </w:rPr>
        <w:t>四、绩效自评结果拟应用和公开情况</w:t>
      </w:r>
    </w:p>
    <w:p w14:paraId="139265BF">
      <w:pPr>
        <w:spacing w:line="540" w:lineRule="exact"/>
        <w:ind w:firstLine="640" w:firstLineChars="200"/>
        <w:rPr>
          <w:rFonts w:eastAsia="黑体"/>
          <w:bCs/>
          <w:sz w:val="30"/>
          <w:szCs w:val="32"/>
          <w:highlight w:val="yellow"/>
        </w:rPr>
      </w:pPr>
      <w:r>
        <w:rPr>
          <w:rFonts w:eastAsia="仿宋_GB2312"/>
          <w:color w:val="000000"/>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进行应用，向社会公开，自觉接受社会各界监督，从而在强化评价结果导向机制方面发挥更大作用，为改进资金项目管理以及完善相关政策提供重要依据。</w:t>
      </w:r>
    </w:p>
    <w:p w14:paraId="18E93339">
      <w:pPr>
        <w:spacing w:line="540" w:lineRule="exact"/>
        <w:ind w:firstLine="600" w:firstLineChars="200"/>
        <w:rPr>
          <w:rFonts w:eastAsia="黑体"/>
          <w:bCs/>
          <w:sz w:val="30"/>
          <w:szCs w:val="32"/>
        </w:rPr>
      </w:pPr>
      <w:r>
        <w:rPr>
          <w:rFonts w:eastAsia="黑体"/>
          <w:bCs/>
          <w:sz w:val="30"/>
          <w:szCs w:val="32"/>
        </w:rPr>
        <w:t>五、其他需要说明的问题</w:t>
      </w:r>
    </w:p>
    <w:p w14:paraId="68EEB9A0">
      <w:pPr>
        <w:spacing w:line="540" w:lineRule="exact"/>
        <w:ind w:firstLine="640" w:firstLineChars="200"/>
        <w:rPr>
          <w:rFonts w:eastAsia="仿宋_GB2312"/>
          <w:sz w:val="32"/>
          <w:szCs w:val="32"/>
        </w:rPr>
      </w:pPr>
      <w:r>
        <w:rPr>
          <w:rFonts w:eastAsia="仿宋_GB2312"/>
          <w:sz w:val="32"/>
          <w:szCs w:val="32"/>
        </w:rPr>
        <w:t>无。</w:t>
      </w:r>
    </w:p>
    <w:p w14:paraId="55B8B5DD">
      <w:pPr>
        <w:spacing w:line="540" w:lineRule="exact"/>
        <w:ind w:firstLine="640" w:firstLineChars="200"/>
        <w:rPr>
          <w:rFonts w:eastAsia="仿宋_GB2312"/>
          <w:sz w:val="32"/>
          <w:szCs w:val="32"/>
        </w:rPr>
      </w:pPr>
    </w:p>
    <w:p w14:paraId="7EDFD883">
      <w:pPr>
        <w:spacing w:line="560" w:lineRule="exact"/>
        <w:ind w:firstLine="640" w:firstLineChars="200"/>
        <w:rPr>
          <w:rFonts w:eastAsia="仿宋_GB2312"/>
          <w:color w:val="000000"/>
          <w:sz w:val="32"/>
          <w:szCs w:val="32"/>
        </w:rPr>
      </w:pPr>
      <w:r>
        <w:rPr>
          <w:rFonts w:eastAsia="仿宋_GB2312"/>
          <w:color w:val="000000"/>
          <w:sz w:val="32"/>
          <w:szCs w:val="32"/>
        </w:rPr>
        <w:t>附</w:t>
      </w:r>
      <w:r>
        <w:rPr>
          <w:rFonts w:hint="eastAsia" w:eastAsia="仿宋_GB2312"/>
          <w:color w:val="000000"/>
          <w:sz w:val="32"/>
          <w:szCs w:val="32"/>
        </w:rPr>
        <w:t>件</w:t>
      </w:r>
      <w:r>
        <w:rPr>
          <w:rFonts w:eastAsia="仿宋_GB2312"/>
          <w:color w:val="000000"/>
          <w:sz w:val="32"/>
          <w:szCs w:val="32"/>
        </w:rPr>
        <w:t>：</w:t>
      </w:r>
      <w:r>
        <w:rPr>
          <w:rFonts w:hint="eastAsia" w:eastAsia="仿宋_GB2312"/>
          <w:color w:val="000000"/>
          <w:sz w:val="32"/>
          <w:szCs w:val="32"/>
        </w:rPr>
        <w:t>天津市渔业发展补助资金</w:t>
      </w:r>
      <w:r>
        <w:rPr>
          <w:rFonts w:eastAsia="仿宋_GB2312"/>
          <w:color w:val="000000"/>
          <w:sz w:val="32"/>
          <w:szCs w:val="32"/>
        </w:rPr>
        <w:t>区域绩效自评表</w:t>
      </w:r>
    </w:p>
    <w:p w14:paraId="22CFD368">
      <w:pPr>
        <w:spacing w:line="560" w:lineRule="exact"/>
        <w:rPr>
          <w:rFonts w:eastAsia="仿宋_GB2312"/>
          <w:color w:val="000000"/>
          <w:sz w:val="32"/>
          <w:szCs w:val="32"/>
        </w:rPr>
      </w:pPr>
    </w:p>
    <w:p w14:paraId="20430A0D">
      <w:pPr>
        <w:spacing w:line="560" w:lineRule="exact"/>
        <w:rPr>
          <w:rFonts w:eastAsia="仿宋_GB2312"/>
          <w:color w:val="000000"/>
          <w:sz w:val="32"/>
          <w:szCs w:val="32"/>
        </w:rPr>
      </w:pPr>
    </w:p>
    <w:p w14:paraId="2CB47094">
      <w:pPr>
        <w:spacing w:line="560" w:lineRule="exact"/>
        <w:rPr>
          <w:rFonts w:eastAsia="仿宋_GB2312"/>
          <w:color w:val="000000"/>
          <w:sz w:val="32"/>
          <w:szCs w:val="32"/>
        </w:rPr>
      </w:pPr>
    </w:p>
    <w:p w14:paraId="3330B110">
      <w:pPr>
        <w:spacing w:line="560" w:lineRule="exact"/>
        <w:rPr>
          <w:rFonts w:eastAsia="仿宋_GB2312"/>
          <w:color w:val="000000"/>
          <w:sz w:val="32"/>
          <w:szCs w:val="32"/>
        </w:rPr>
      </w:pPr>
    </w:p>
    <w:p w14:paraId="236A652E">
      <w:pPr>
        <w:spacing w:line="560" w:lineRule="exact"/>
        <w:rPr>
          <w:rFonts w:eastAsia="仿宋_GB2312"/>
          <w:color w:val="000000"/>
          <w:sz w:val="32"/>
          <w:szCs w:val="32"/>
        </w:rPr>
      </w:pPr>
    </w:p>
    <w:p w14:paraId="388BD573">
      <w:pPr>
        <w:spacing w:line="560" w:lineRule="exact"/>
        <w:rPr>
          <w:rFonts w:eastAsia="仿宋_GB2312"/>
          <w:color w:val="000000"/>
          <w:sz w:val="32"/>
          <w:szCs w:val="32"/>
        </w:rPr>
      </w:pPr>
    </w:p>
    <w:p w14:paraId="166397CD">
      <w:pPr>
        <w:spacing w:line="560" w:lineRule="exact"/>
        <w:rPr>
          <w:rFonts w:eastAsia="仿宋_GB2312"/>
          <w:color w:val="000000"/>
          <w:sz w:val="32"/>
          <w:szCs w:val="32"/>
        </w:rPr>
      </w:pPr>
    </w:p>
    <w:p w14:paraId="21D62F1F">
      <w:pPr>
        <w:spacing w:line="560" w:lineRule="exact"/>
        <w:rPr>
          <w:rFonts w:eastAsia="仿宋_GB2312"/>
          <w:color w:val="000000"/>
          <w:sz w:val="32"/>
          <w:szCs w:val="32"/>
        </w:rPr>
      </w:pPr>
    </w:p>
    <w:p w14:paraId="59D2F0EF">
      <w:pPr>
        <w:spacing w:line="560" w:lineRule="exact"/>
        <w:rPr>
          <w:rFonts w:eastAsia="仿宋_GB2312"/>
          <w:color w:val="000000"/>
          <w:sz w:val="32"/>
          <w:szCs w:val="32"/>
        </w:rPr>
      </w:pPr>
    </w:p>
    <w:p w14:paraId="0C8D863F">
      <w:pPr>
        <w:spacing w:line="560" w:lineRule="exact"/>
        <w:rPr>
          <w:rFonts w:eastAsia="仿宋_GB2312"/>
          <w:color w:val="000000"/>
          <w:sz w:val="32"/>
          <w:szCs w:val="32"/>
        </w:rPr>
      </w:pPr>
    </w:p>
    <w:p w14:paraId="7F5CBE60">
      <w:pPr>
        <w:spacing w:line="560" w:lineRule="exact"/>
        <w:rPr>
          <w:rFonts w:eastAsia="仿宋_GB2312"/>
          <w:color w:val="000000"/>
          <w:sz w:val="32"/>
          <w:szCs w:val="32"/>
        </w:rPr>
      </w:pPr>
    </w:p>
    <w:p w14:paraId="4B502D57">
      <w:pPr>
        <w:spacing w:line="560" w:lineRule="exact"/>
        <w:rPr>
          <w:rFonts w:eastAsia="仿宋_GB2312"/>
          <w:color w:val="000000"/>
          <w:sz w:val="32"/>
          <w:szCs w:val="32"/>
        </w:rPr>
      </w:pPr>
    </w:p>
    <w:p w14:paraId="632368CE">
      <w:pPr>
        <w:spacing w:line="560" w:lineRule="exact"/>
        <w:rPr>
          <w:rFonts w:eastAsia="仿宋_GB2312"/>
          <w:color w:val="000000"/>
          <w:sz w:val="32"/>
          <w:szCs w:val="32"/>
        </w:rPr>
      </w:pPr>
    </w:p>
    <w:p w14:paraId="150081DB">
      <w:pPr>
        <w:spacing w:line="560" w:lineRule="exact"/>
        <w:rPr>
          <w:rFonts w:eastAsia="仿宋_GB2312"/>
          <w:color w:val="000000"/>
          <w:sz w:val="32"/>
          <w:szCs w:val="32"/>
        </w:rPr>
      </w:pPr>
    </w:p>
    <w:p w14:paraId="19963F6B">
      <w:pPr>
        <w:spacing w:line="560" w:lineRule="exact"/>
        <w:rPr>
          <w:rFonts w:eastAsia="仿宋_GB2312"/>
          <w:color w:val="000000"/>
          <w:sz w:val="32"/>
          <w:szCs w:val="32"/>
        </w:rPr>
      </w:pPr>
    </w:p>
    <w:p w14:paraId="67BFDE54">
      <w:pPr>
        <w:rPr>
          <w:rFonts w:eastAsia="黑体"/>
          <w:color w:val="000000"/>
          <w:sz w:val="32"/>
          <w:szCs w:val="32"/>
        </w:rPr>
      </w:pPr>
      <w:r>
        <w:rPr>
          <w:rFonts w:eastAsia="黑体"/>
          <w:color w:val="000000"/>
          <w:sz w:val="32"/>
          <w:szCs w:val="32"/>
        </w:rPr>
        <w:t>附件7</w:t>
      </w:r>
    </w:p>
    <w:p w14:paraId="1C7EB41A">
      <w:pPr>
        <w:spacing w:line="560" w:lineRule="exact"/>
        <w:jc w:val="center"/>
        <w:rPr>
          <w:rFonts w:eastAsia="方正小标宋简体"/>
          <w:sz w:val="40"/>
          <w:szCs w:val="44"/>
        </w:rPr>
      </w:pPr>
      <w:r>
        <w:rPr>
          <w:rFonts w:eastAsia="方正小标宋简体"/>
          <w:sz w:val="40"/>
          <w:szCs w:val="44"/>
        </w:rPr>
        <w:t>天津市农业保险保费补贴转移支付</w:t>
      </w:r>
    </w:p>
    <w:p w14:paraId="5977BE79">
      <w:pPr>
        <w:spacing w:line="560" w:lineRule="exact"/>
        <w:jc w:val="center"/>
        <w:rPr>
          <w:rFonts w:eastAsia="方正小标宋简体"/>
          <w:sz w:val="40"/>
          <w:szCs w:val="44"/>
        </w:rPr>
      </w:pPr>
      <w:r>
        <w:rPr>
          <w:rFonts w:eastAsia="方正小标宋简体"/>
          <w:sz w:val="40"/>
          <w:szCs w:val="44"/>
        </w:rPr>
        <w:t>202</w:t>
      </w:r>
      <w:r>
        <w:rPr>
          <w:rFonts w:hint="eastAsia" w:eastAsia="方正小标宋简体"/>
          <w:sz w:val="40"/>
          <w:szCs w:val="44"/>
          <w:lang w:val="en-US" w:eastAsia="zh-CN"/>
        </w:rPr>
        <w:t>2</w:t>
      </w:r>
      <w:r>
        <w:rPr>
          <w:rFonts w:eastAsia="方正小标宋简体"/>
          <w:sz w:val="40"/>
          <w:szCs w:val="44"/>
        </w:rPr>
        <w:t>年度绩效自评报告</w:t>
      </w:r>
    </w:p>
    <w:p w14:paraId="1A915DE0">
      <w:pPr>
        <w:spacing w:line="540" w:lineRule="exact"/>
        <w:ind w:firstLine="640" w:firstLineChars="200"/>
        <w:rPr>
          <w:rFonts w:eastAsia="黑体"/>
          <w:bCs/>
          <w:sz w:val="32"/>
          <w:szCs w:val="32"/>
        </w:rPr>
      </w:pPr>
    </w:p>
    <w:p w14:paraId="2F881ACF">
      <w:pPr>
        <w:spacing w:line="540" w:lineRule="exact"/>
        <w:ind w:firstLine="640" w:firstLineChars="200"/>
        <w:rPr>
          <w:rFonts w:eastAsia="黑体"/>
          <w:bCs/>
          <w:sz w:val="32"/>
          <w:szCs w:val="32"/>
        </w:rPr>
      </w:pPr>
      <w:r>
        <w:rPr>
          <w:rFonts w:eastAsia="黑体"/>
          <w:bCs/>
          <w:sz w:val="32"/>
          <w:szCs w:val="32"/>
        </w:rPr>
        <w:t>一、绩效目标分解下达情况</w:t>
      </w:r>
    </w:p>
    <w:p w14:paraId="163B291E">
      <w:pPr>
        <w:spacing w:line="540" w:lineRule="exact"/>
        <w:ind w:firstLine="643" w:firstLineChars="200"/>
        <w:rPr>
          <w:rFonts w:eastAsia="仿宋_GB2312"/>
          <w:sz w:val="32"/>
          <w:szCs w:val="32"/>
        </w:rPr>
      </w:pPr>
      <w:r>
        <w:rPr>
          <w:rFonts w:eastAsia="楷体_GB2312"/>
          <w:b/>
          <w:sz w:val="32"/>
          <w:szCs w:val="32"/>
        </w:rPr>
        <w:t>（一）中央下达预算和区域绩效目标情况。</w:t>
      </w:r>
      <w:r>
        <w:rPr>
          <w:rFonts w:eastAsia="仿宋_GB2312"/>
          <w:sz w:val="32"/>
          <w:szCs w:val="32"/>
        </w:rPr>
        <w:t>20</w:t>
      </w:r>
      <w:r>
        <w:rPr>
          <w:rFonts w:hint="eastAsia" w:eastAsia="仿宋_GB2312"/>
          <w:sz w:val="32"/>
          <w:szCs w:val="32"/>
          <w:lang w:val="en-US" w:eastAsia="zh-CN"/>
        </w:rPr>
        <w:t>22</w:t>
      </w:r>
      <w:r>
        <w:rPr>
          <w:rFonts w:eastAsia="仿宋_GB2312"/>
          <w:sz w:val="32"/>
          <w:szCs w:val="32"/>
        </w:rPr>
        <w:t>年，中央下达我市农业保险保费补贴转移支付资金预算</w:t>
      </w:r>
      <w:r>
        <w:rPr>
          <w:rFonts w:hint="eastAsia" w:eastAsia="仿宋_GB2312"/>
          <w:sz w:val="32"/>
          <w:szCs w:val="32"/>
          <w:lang w:val="en-US" w:eastAsia="zh-CN"/>
        </w:rPr>
        <w:t>8343</w:t>
      </w:r>
      <w:r>
        <w:rPr>
          <w:rFonts w:eastAsia="仿宋_GB2312"/>
          <w:sz w:val="32"/>
          <w:szCs w:val="32"/>
        </w:rPr>
        <w:t>万元，下达区域绩效目标为：“1.引导和支持农户参加农业保险；2.中央</w:t>
      </w:r>
      <w:r>
        <w:rPr>
          <w:rFonts w:hint="eastAsia" w:eastAsia="仿宋_GB2312"/>
          <w:sz w:val="32"/>
          <w:szCs w:val="32"/>
          <w:lang w:eastAsia="zh-CN"/>
        </w:rPr>
        <w:t>和省级</w:t>
      </w:r>
      <w:r>
        <w:rPr>
          <w:rFonts w:eastAsia="仿宋_GB2312"/>
          <w:sz w:val="32"/>
          <w:szCs w:val="32"/>
        </w:rPr>
        <w:t>财政主要保障关系国计民生和粮食安全的大宗农产品，重点支持农业生产环节；3.不断扩大农业保险覆盖面和风险保障水平，逐步建立市场化的农业生产风险防范化解机制；4.稳定农业生产，保障农民收入”。</w:t>
      </w:r>
    </w:p>
    <w:p w14:paraId="018BE392">
      <w:pPr>
        <w:spacing w:line="540" w:lineRule="exact"/>
        <w:ind w:firstLine="643" w:firstLineChars="200"/>
        <w:rPr>
          <w:rFonts w:eastAsia="仿宋_GB2312"/>
          <w:color w:val="000000"/>
          <w:sz w:val="32"/>
          <w:szCs w:val="32"/>
        </w:rPr>
      </w:pPr>
      <w:r>
        <w:rPr>
          <w:rFonts w:eastAsia="楷体_GB2312"/>
          <w:b/>
          <w:color w:val="000000"/>
          <w:sz w:val="32"/>
          <w:szCs w:val="32"/>
        </w:rPr>
        <w:t>（二）我市分解下达预算和绩效目标情况。</w:t>
      </w:r>
      <w:r>
        <w:rPr>
          <w:rFonts w:eastAsia="仿宋_GB2312"/>
          <w:color w:val="000000"/>
          <w:sz w:val="32"/>
          <w:szCs w:val="32"/>
        </w:rPr>
        <w:t>按照《财政部关于提前下达中央财政农业保险保费补贴202</w:t>
      </w:r>
      <w:r>
        <w:rPr>
          <w:rFonts w:hint="eastAsia" w:eastAsia="仿宋_GB2312"/>
          <w:color w:val="000000"/>
          <w:sz w:val="32"/>
          <w:szCs w:val="32"/>
          <w:lang w:val="en-US" w:eastAsia="zh-CN"/>
        </w:rPr>
        <w:t>2</w:t>
      </w:r>
      <w:r>
        <w:rPr>
          <w:rFonts w:eastAsia="仿宋_GB2312"/>
          <w:color w:val="000000"/>
          <w:sz w:val="32"/>
          <w:szCs w:val="32"/>
        </w:rPr>
        <w:t>年预算指标的通知》（财金〔202</w:t>
      </w:r>
      <w:r>
        <w:rPr>
          <w:rFonts w:hint="eastAsia" w:eastAsia="仿宋_GB2312"/>
          <w:color w:val="000000"/>
          <w:sz w:val="32"/>
          <w:szCs w:val="32"/>
          <w:lang w:val="en-US" w:eastAsia="zh-CN"/>
        </w:rPr>
        <w:t>1</w:t>
      </w:r>
      <w:r>
        <w:rPr>
          <w:rFonts w:eastAsia="仿宋_GB2312"/>
          <w:color w:val="000000"/>
          <w:sz w:val="32"/>
          <w:szCs w:val="32"/>
        </w:rPr>
        <w:t>〕9</w:t>
      </w:r>
      <w:r>
        <w:rPr>
          <w:rFonts w:hint="eastAsia" w:eastAsia="仿宋_GB2312"/>
          <w:color w:val="000000"/>
          <w:sz w:val="32"/>
          <w:szCs w:val="32"/>
          <w:lang w:val="en-US" w:eastAsia="zh-CN"/>
        </w:rPr>
        <w:t>0</w:t>
      </w:r>
      <w:r>
        <w:rPr>
          <w:rFonts w:eastAsia="仿宋_GB2312"/>
          <w:color w:val="000000"/>
          <w:sz w:val="32"/>
          <w:szCs w:val="32"/>
        </w:rPr>
        <w:t>号）、《财政部办公厅关于结算20</w:t>
      </w:r>
      <w:r>
        <w:rPr>
          <w:rFonts w:hint="eastAsia" w:eastAsia="仿宋_GB2312"/>
          <w:color w:val="000000"/>
          <w:sz w:val="32"/>
          <w:szCs w:val="32"/>
          <w:lang w:val="en-US" w:eastAsia="zh-CN"/>
        </w:rPr>
        <w:t>21</w:t>
      </w:r>
      <w:r>
        <w:rPr>
          <w:rFonts w:eastAsia="仿宋_GB2312"/>
          <w:color w:val="000000"/>
          <w:sz w:val="32"/>
          <w:szCs w:val="32"/>
        </w:rPr>
        <w:t>年度中央财政农业</w:t>
      </w:r>
      <w:r>
        <w:rPr>
          <w:rFonts w:hint="eastAsia" w:eastAsia="仿宋_GB2312"/>
          <w:color w:val="000000"/>
          <w:sz w:val="32"/>
          <w:szCs w:val="32"/>
          <w:lang w:eastAsia="zh-CN"/>
        </w:rPr>
        <w:t>保险保费</w:t>
      </w:r>
      <w:r>
        <w:rPr>
          <w:rFonts w:eastAsia="仿宋_GB2312"/>
          <w:color w:val="000000"/>
          <w:sz w:val="32"/>
          <w:szCs w:val="32"/>
        </w:rPr>
        <w:t>费补贴资金及下达2021年第二笔中央财政农业</w:t>
      </w:r>
      <w:r>
        <w:rPr>
          <w:rFonts w:hint="eastAsia" w:eastAsia="仿宋_GB2312"/>
          <w:color w:val="000000"/>
          <w:sz w:val="32"/>
          <w:szCs w:val="32"/>
          <w:lang w:eastAsia="zh-CN"/>
        </w:rPr>
        <w:t>保险保费</w:t>
      </w:r>
      <w:r>
        <w:rPr>
          <w:rFonts w:eastAsia="仿宋_GB2312"/>
          <w:color w:val="000000"/>
          <w:sz w:val="32"/>
          <w:szCs w:val="32"/>
        </w:rPr>
        <w:t>费补贴预算的通知》（财金〔2021〕84号）要求，结合我市实际，2020年12月和202</w:t>
      </w:r>
      <w:r>
        <w:rPr>
          <w:rFonts w:hint="eastAsia" w:eastAsia="仿宋_GB2312"/>
          <w:color w:val="000000"/>
          <w:sz w:val="32"/>
          <w:szCs w:val="32"/>
          <w:lang w:val="en-US" w:eastAsia="zh-CN"/>
        </w:rPr>
        <w:t>2</w:t>
      </w:r>
      <w:r>
        <w:rPr>
          <w:rFonts w:eastAsia="仿宋_GB2312"/>
          <w:color w:val="000000"/>
          <w:sz w:val="32"/>
          <w:szCs w:val="32"/>
        </w:rPr>
        <w:t>年1</w:t>
      </w:r>
      <w:r>
        <w:rPr>
          <w:rFonts w:hint="eastAsia" w:eastAsia="仿宋_GB2312"/>
          <w:color w:val="000000"/>
          <w:sz w:val="32"/>
          <w:szCs w:val="32"/>
          <w:lang w:val="en-US" w:eastAsia="zh-CN"/>
        </w:rPr>
        <w:t>2</w:t>
      </w:r>
      <w:r>
        <w:rPr>
          <w:rFonts w:eastAsia="仿宋_GB2312"/>
          <w:color w:val="000000"/>
          <w:sz w:val="32"/>
          <w:szCs w:val="32"/>
        </w:rPr>
        <w:t>月，我市通过《天津市财政局关于提前下达中央财政</w:t>
      </w:r>
      <w:r>
        <w:rPr>
          <w:rFonts w:hint="eastAsia" w:eastAsia="仿宋_GB2312"/>
          <w:color w:val="000000"/>
          <w:sz w:val="32"/>
          <w:szCs w:val="32"/>
          <w:lang w:eastAsia="zh-CN"/>
        </w:rPr>
        <w:t>和市财政</w:t>
      </w:r>
      <w:r>
        <w:rPr>
          <w:rFonts w:eastAsia="仿宋_GB2312"/>
          <w:color w:val="000000"/>
          <w:sz w:val="32"/>
          <w:szCs w:val="32"/>
        </w:rPr>
        <w:t>202</w:t>
      </w:r>
      <w:r>
        <w:rPr>
          <w:rFonts w:hint="eastAsia" w:eastAsia="仿宋_GB2312"/>
          <w:color w:val="000000"/>
          <w:sz w:val="32"/>
          <w:szCs w:val="32"/>
          <w:lang w:val="en-US" w:eastAsia="zh-CN"/>
        </w:rPr>
        <w:t>2</w:t>
      </w:r>
      <w:r>
        <w:rPr>
          <w:rFonts w:eastAsia="仿宋_GB2312"/>
          <w:color w:val="000000"/>
          <w:sz w:val="32"/>
          <w:szCs w:val="32"/>
        </w:rPr>
        <w:t>年农业</w:t>
      </w:r>
      <w:r>
        <w:rPr>
          <w:rFonts w:hint="eastAsia" w:eastAsia="仿宋_GB2312"/>
          <w:color w:val="000000"/>
          <w:sz w:val="32"/>
          <w:szCs w:val="32"/>
          <w:lang w:eastAsia="zh-CN"/>
        </w:rPr>
        <w:t>转移支付预算指标</w:t>
      </w:r>
      <w:r>
        <w:rPr>
          <w:rFonts w:eastAsia="仿宋_GB2312"/>
          <w:color w:val="000000"/>
          <w:sz w:val="32"/>
          <w:szCs w:val="32"/>
        </w:rPr>
        <w:t>的通知》（津财农指〔202</w:t>
      </w:r>
      <w:r>
        <w:rPr>
          <w:rFonts w:hint="eastAsia" w:eastAsia="仿宋_GB2312"/>
          <w:color w:val="000000"/>
          <w:sz w:val="32"/>
          <w:szCs w:val="32"/>
          <w:lang w:val="en-US" w:eastAsia="zh-CN"/>
        </w:rPr>
        <w:t>1</w:t>
      </w:r>
      <w:r>
        <w:rPr>
          <w:rFonts w:eastAsia="仿宋_GB2312"/>
          <w:color w:val="000000"/>
          <w:sz w:val="32"/>
          <w:szCs w:val="32"/>
        </w:rPr>
        <w:t>〕4</w:t>
      </w:r>
      <w:r>
        <w:rPr>
          <w:rFonts w:hint="eastAsia" w:eastAsia="仿宋_GB2312"/>
          <w:color w:val="000000"/>
          <w:sz w:val="32"/>
          <w:szCs w:val="32"/>
          <w:lang w:val="en-US" w:eastAsia="zh-CN"/>
        </w:rPr>
        <w:t>7</w:t>
      </w:r>
      <w:r>
        <w:rPr>
          <w:rFonts w:eastAsia="仿宋_GB2312"/>
          <w:color w:val="000000"/>
          <w:sz w:val="32"/>
          <w:szCs w:val="32"/>
        </w:rPr>
        <w:t>号）、《天津市财政局关于下达</w:t>
      </w:r>
      <w:r>
        <w:rPr>
          <w:rFonts w:hint="eastAsia" w:eastAsia="仿宋_GB2312"/>
          <w:color w:val="000000"/>
          <w:sz w:val="32"/>
          <w:szCs w:val="32"/>
          <w:lang w:val="en-US" w:eastAsia="zh-CN"/>
        </w:rPr>
        <w:t>2022年</w:t>
      </w:r>
      <w:r>
        <w:rPr>
          <w:rFonts w:eastAsia="仿宋_GB2312"/>
          <w:color w:val="000000"/>
          <w:sz w:val="32"/>
          <w:szCs w:val="32"/>
        </w:rPr>
        <w:t>第二笔</w:t>
      </w:r>
      <w:r>
        <w:rPr>
          <w:rFonts w:hint="eastAsia" w:eastAsia="仿宋_GB2312"/>
          <w:color w:val="000000"/>
          <w:sz w:val="32"/>
          <w:szCs w:val="32"/>
          <w:lang w:eastAsia="zh-CN"/>
        </w:rPr>
        <w:t>中央</w:t>
      </w:r>
      <w:r>
        <w:rPr>
          <w:rFonts w:eastAsia="仿宋_GB2312"/>
          <w:color w:val="000000"/>
          <w:sz w:val="32"/>
          <w:szCs w:val="32"/>
        </w:rPr>
        <w:t>农业保险保费补贴</w:t>
      </w:r>
      <w:r>
        <w:rPr>
          <w:rFonts w:hint="eastAsia" w:eastAsia="仿宋_GB2312"/>
          <w:color w:val="000000"/>
          <w:sz w:val="32"/>
          <w:szCs w:val="32"/>
          <w:lang w:eastAsia="zh-CN"/>
        </w:rPr>
        <w:t>预算指标</w:t>
      </w:r>
      <w:r>
        <w:rPr>
          <w:rFonts w:eastAsia="仿宋_GB2312"/>
          <w:color w:val="000000"/>
          <w:sz w:val="32"/>
          <w:szCs w:val="32"/>
        </w:rPr>
        <w:t>的通知》（津财农指〔202</w:t>
      </w:r>
      <w:r>
        <w:rPr>
          <w:rFonts w:hint="eastAsia" w:eastAsia="仿宋_GB2312"/>
          <w:color w:val="000000"/>
          <w:sz w:val="32"/>
          <w:szCs w:val="32"/>
          <w:lang w:val="en-US" w:eastAsia="zh-CN"/>
        </w:rPr>
        <w:t>2</w:t>
      </w:r>
      <w:r>
        <w:rPr>
          <w:rFonts w:eastAsia="仿宋_GB2312"/>
          <w:color w:val="000000"/>
          <w:sz w:val="32"/>
          <w:szCs w:val="32"/>
        </w:rPr>
        <w:t>〕</w:t>
      </w:r>
      <w:r>
        <w:rPr>
          <w:rFonts w:hint="eastAsia" w:eastAsia="仿宋_GB2312"/>
          <w:color w:val="000000"/>
          <w:sz w:val="32"/>
          <w:szCs w:val="32"/>
          <w:lang w:val="en-US" w:eastAsia="zh-CN"/>
        </w:rPr>
        <w:t>61</w:t>
      </w:r>
      <w:r>
        <w:rPr>
          <w:rFonts w:eastAsia="仿宋_GB2312"/>
          <w:color w:val="000000"/>
          <w:sz w:val="32"/>
          <w:szCs w:val="32"/>
        </w:rPr>
        <w:t>号），及时将中央财政资金和绩效目标等同步分解下达，其中：</w:t>
      </w:r>
      <w:r>
        <w:rPr>
          <w:rFonts w:hint="eastAsia" w:eastAsia="仿宋_GB2312"/>
          <w:color w:val="000000"/>
          <w:sz w:val="32"/>
          <w:szCs w:val="32"/>
          <w:lang w:eastAsia="zh-CN"/>
        </w:rPr>
        <w:t>天津食品集团</w:t>
      </w:r>
      <w:r>
        <w:rPr>
          <w:rFonts w:hint="eastAsia" w:eastAsia="仿宋_GB2312"/>
          <w:color w:val="000000"/>
          <w:sz w:val="32"/>
          <w:szCs w:val="32"/>
          <w:lang w:val="en-US" w:eastAsia="zh-CN"/>
        </w:rPr>
        <w:t>599.7</w:t>
      </w:r>
      <w:r>
        <w:rPr>
          <w:rFonts w:eastAsia="仿宋_GB2312"/>
          <w:color w:val="000000"/>
          <w:sz w:val="32"/>
          <w:szCs w:val="32"/>
        </w:rPr>
        <w:t>万元、蓟州区</w:t>
      </w:r>
      <w:r>
        <w:rPr>
          <w:rFonts w:hint="eastAsia" w:eastAsia="仿宋_GB2312"/>
          <w:color w:val="000000"/>
          <w:sz w:val="32"/>
          <w:szCs w:val="32"/>
          <w:lang w:val="en-US" w:eastAsia="zh-CN"/>
        </w:rPr>
        <w:t>2059.3</w:t>
      </w:r>
      <w:r>
        <w:rPr>
          <w:rFonts w:eastAsia="仿宋_GB2312"/>
          <w:color w:val="000000"/>
          <w:sz w:val="32"/>
          <w:szCs w:val="32"/>
        </w:rPr>
        <w:t>万元、宝坻区</w:t>
      </w:r>
      <w:r>
        <w:rPr>
          <w:rFonts w:hint="eastAsia" w:eastAsia="仿宋_GB2312"/>
          <w:color w:val="000000"/>
          <w:sz w:val="32"/>
          <w:szCs w:val="32"/>
          <w:lang w:val="en-US" w:eastAsia="zh-CN"/>
        </w:rPr>
        <w:t>1438.8</w:t>
      </w:r>
      <w:r>
        <w:rPr>
          <w:rFonts w:eastAsia="仿宋_GB2312"/>
          <w:color w:val="000000"/>
          <w:sz w:val="32"/>
          <w:szCs w:val="32"/>
        </w:rPr>
        <w:t>万元、武清区</w:t>
      </w:r>
      <w:r>
        <w:rPr>
          <w:rFonts w:hint="eastAsia" w:eastAsia="仿宋_GB2312"/>
          <w:color w:val="000000"/>
          <w:sz w:val="32"/>
          <w:szCs w:val="32"/>
          <w:lang w:val="en-US" w:eastAsia="zh-CN"/>
        </w:rPr>
        <w:t>908.2</w:t>
      </w:r>
      <w:r>
        <w:rPr>
          <w:rFonts w:eastAsia="仿宋_GB2312"/>
          <w:color w:val="000000"/>
          <w:sz w:val="32"/>
          <w:szCs w:val="32"/>
        </w:rPr>
        <w:t>万元、宁河区</w:t>
      </w:r>
      <w:r>
        <w:rPr>
          <w:rFonts w:hint="eastAsia" w:eastAsia="仿宋_GB2312"/>
          <w:color w:val="000000"/>
          <w:sz w:val="32"/>
          <w:szCs w:val="32"/>
          <w:lang w:val="en-US" w:eastAsia="zh-CN"/>
        </w:rPr>
        <w:t>528.9</w:t>
      </w:r>
      <w:r>
        <w:rPr>
          <w:rFonts w:eastAsia="仿宋_GB2312"/>
          <w:color w:val="000000"/>
          <w:sz w:val="32"/>
          <w:szCs w:val="32"/>
        </w:rPr>
        <w:t>万元、静海区</w:t>
      </w:r>
      <w:r>
        <w:rPr>
          <w:rFonts w:hint="eastAsia" w:eastAsia="仿宋_GB2312"/>
          <w:color w:val="000000"/>
          <w:sz w:val="32"/>
          <w:szCs w:val="32"/>
          <w:lang w:val="en-US" w:eastAsia="zh-CN"/>
        </w:rPr>
        <w:t>1634.1</w:t>
      </w:r>
      <w:r>
        <w:rPr>
          <w:rFonts w:eastAsia="仿宋_GB2312"/>
          <w:color w:val="000000"/>
          <w:sz w:val="32"/>
          <w:szCs w:val="32"/>
        </w:rPr>
        <w:t>万元、津南区</w:t>
      </w:r>
      <w:r>
        <w:rPr>
          <w:rFonts w:hint="eastAsia" w:eastAsia="仿宋_GB2312"/>
          <w:color w:val="000000"/>
          <w:sz w:val="32"/>
          <w:szCs w:val="32"/>
          <w:lang w:val="en-US" w:eastAsia="zh-CN"/>
        </w:rPr>
        <w:t>39.4</w:t>
      </w:r>
      <w:r>
        <w:rPr>
          <w:rFonts w:eastAsia="仿宋_GB2312"/>
          <w:color w:val="000000"/>
          <w:sz w:val="32"/>
          <w:szCs w:val="32"/>
        </w:rPr>
        <w:t>万元、西青区</w:t>
      </w:r>
      <w:r>
        <w:rPr>
          <w:rFonts w:hint="eastAsia" w:eastAsia="仿宋_GB2312"/>
          <w:color w:val="000000"/>
          <w:sz w:val="32"/>
          <w:szCs w:val="32"/>
          <w:lang w:val="en-US" w:eastAsia="zh-CN"/>
        </w:rPr>
        <w:t>153</w:t>
      </w:r>
      <w:r>
        <w:rPr>
          <w:rFonts w:eastAsia="仿宋_GB2312"/>
          <w:color w:val="000000"/>
          <w:sz w:val="32"/>
          <w:szCs w:val="32"/>
        </w:rPr>
        <w:t>万元、北辰区</w:t>
      </w:r>
      <w:r>
        <w:rPr>
          <w:rFonts w:hint="eastAsia" w:eastAsia="仿宋_GB2312"/>
          <w:color w:val="000000"/>
          <w:sz w:val="32"/>
          <w:szCs w:val="32"/>
          <w:lang w:val="en-US" w:eastAsia="zh-CN"/>
        </w:rPr>
        <w:t>340.4</w:t>
      </w:r>
      <w:r>
        <w:rPr>
          <w:rFonts w:eastAsia="仿宋_GB2312"/>
          <w:color w:val="000000"/>
          <w:sz w:val="32"/>
          <w:szCs w:val="32"/>
        </w:rPr>
        <w:t>万元、滨海新区</w:t>
      </w:r>
      <w:r>
        <w:rPr>
          <w:rFonts w:hint="eastAsia" w:eastAsia="仿宋_GB2312"/>
          <w:color w:val="000000"/>
          <w:sz w:val="32"/>
          <w:szCs w:val="32"/>
          <w:lang w:val="en-US" w:eastAsia="zh-CN"/>
        </w:rPr>
        <w:t>641.2</w:t>
      </w:r>
      <w:r>
        <w:rPr>
          <w:rFonts w:eastAsia="仿宋_GB2312"/>
          <w:color w:val="000000"/>
          <w:sz w:val="32"/>
          <w:szCs w:val="32"/>
        </w:rPr>
        <w:t>万元。</w:t>
      </w:r>
    </w:p>
    <w:p w14:paraId="3D189E97">
      <w:pPr>
        <w:spacing w:line="540" w:lineRule="exact"/>
        <w:ind w:firstLine="640" w:firstLineChars="200"/>
        <w:rPr>
          <w:rFonts w:eastAsia="黑体"/>
          <w:bCs/>
          <w:sz w:val="32"/>
          <w:szCs w:val="32"/>
        </w:rPr>
      </w:pPr>
      <w:r>
        <w:rPr>
          <w:rFonts w:eastAsia="黑体"/>
          <w:bCs/>
          <w:sz w:val="32"/>
          <w:szCs w:val="32"/>
        </w:rPr>
        <w:t>二、绩效目标完成情况分析</w:t>
      </w:r>
    </w:p>
    <w:p w14:paraId="1965633A">
      <w:pPr>
        <w:spacing w:line="540" w:lineRule="exact"/>
        <w:ind w:firstLine="640" w:firstLineChars="200"/>
        <w:outlineLvl w:val="0"/>
        <w:rPr>
          <w:rFonts w:eastAsia="楷体_GB2312"/>
          <w:b w:val="0"/>
          <w:bCs w:val="0"/>
          <w:sz w:val="32"/>
          <w:szCs w:val="32"/>
        </w:rPr>
      </w:pPr>
      <w:r>
        <w:rPr>
          <w:rFonts w:eastAsia="楷体_GB2312"/>
          <w:b w:val="0"/>
          <w:bCs w:val="0"/>
          <w:sz w:val="32"/>
          <w:szCs w:val="32"/>
        </w:rPr>
        <w:t>（一）资金投入情况分析。</w:t>
      </w:r>
    </w:p>
    <w:p w14:paraId="2940E518">
      <w:pPr>
        <w:spacing w:line="540" w:lineRule="exact"/>
        <w:ind w:firstLine="643" w:firstLineChars="200"/>
        <w:rPr>
          <w:rFonts w:eastAsia="仿宋_GB2312"/>
          <w:color w:val="000000"/>
          <w:sz w:val="32"/>
          <w:szCs w:val="32"/>
        </w:rPr>
      </w:pPr>
      <w:r>
        <w:rPr>
          <w:rFonts w:eastAsia="仿宋_GB2312"/>
          <w:b/>
          <w:color w:val="000000"/>
          <w:sz w:val="32"/>
          <w:szCs w:val="32"/>
        </w:rPr>
        <w:t>1.项目资金到位情况分析。</w:t>
      </w:r>
      <w:r>
        <w:rPr>
          <w:rFonts w:eastAsia="仿宋_GB2312"/>
          <w:color w:val="000000"/>
          <w:sz w:val="32"/>
          <w:szCs w:val="32"/>
        </w:rPr>
        <w:t>按照中央有关要求，202</w:t>
      </w:r>
      <w:r>
        <w:rPr>
          <w:rFonts w:hint="eastAsia" w:eastAsia="仿宋_GB2312"/>
          <w:color w:val="000000"/>
          <w:sz w:val="32"/>
          <w:szCs w:val="32"/>
          <w:lang w:val="en-US" w:eastAsia="zh-CN"/>
        </w:rPr>
        <w:t>1</w:t>
      </w:r>
      <w:r>
        <w:rPr>
          <w:rFonts w:eastAsia="仿宋_GB2312"/>
          <w:color w:val="000000"/>
          <w:sz w:val="32"/>
          <w:szCs w:val="32"/>
        </w:rPr>
        <w:t>年12月和202</w:t>
      </w:r>
      <w:r>
        <w:rPr>
          <w:rFonts w:hint="eastAsia" w:eastAsia="仿宋_GB2312"/>
          <w:color w:val="000000"/>
          <w:sz w:val="32"/>
          <w:szCs w:val="32"/>
          <w:lang w:val="en-US" w:eastAsia="zh-CN"/>
        </w:rPr>
        <w:t>2</w:t>
      </w:r>
      <w:r>
        <w:rPr>
          <w:rFonts w:eastAsia="仿宋_GB2312"/>
          <w:color w:val="000000"/>
          <w:sz w:val="32"/>
          <w:szCs w:val="32"/>
        </w:rPr>
        <w:t>年1</w:t>
      </w:r>
      <w:r>
        <w:rPr>
          <w:rFonts w:hint="eastAsia" w:eastAsia="仿宋_GB2312"/>
          <w:color w:val="000000"/>
          <w:sz w:val="32"/>
          <w:szCs w:val="32"/>
          <w:lang w:val="en-US" w:eastAsia="zh-CN"/>
        </w:rPr>
        <w:t>2</w:t>
      </w:r>
      <w:r>
        <w:rPr>
          <w:rFonts w:eastAsia="仿宋_GB2312"/>
          <w:color w:val="000000"/>
          <w:sz w:val="32"/>
          <w:szCs w:val="32"/>
        </w:rPr>
        <w:t>月，我市通过《天津市财政局关于提前下达中央财政</w:t>
      </w:r>
      <w:r>
        <w:rPr>
          <w:rFonts w:hint="eastAsia" w:eastAsia="仿宋_GB2312"/>
          <w:color w:val="000000"/>
          <w:sz w:val="32"/>
          <w:szCs w:val="32"/>
          <w:lang w:eastAsia="zh-CN"/>
        </w:rPr>
        <w:t>和市财政</w:t>
      </w:r>
      <w:r>
        <w:rPr>
          <w:rFonts w:eastAsia="仿宋_GB2312"/>
          <w:color w:val="000000"/>
          <w:sz w:val="32"/>
          <w:szCs w:val="32"/>
        </w:rPr>
        <w:t>202</w:t>
      </w:r>
      <w:r>
        <w:rPr>
          <w:rFonts w:hint="eastAsia" w:eastAsia="仿宋_GB2312"/>
          <w:color w:val="000000"/>
          <w:sz w:val="32"/>
          <w:szCs w:val="32"/>
          <w:lang w:val="en-US" w:eastAsia="zh-CN"/>
        </w:rPr>
        <w:t>2</w:t>
      </w:r>
      <w:r>
        <w:rPr>
          <w:rFonts w:eastAsia="仿宋_GB2312"/>
          <w:color w:val="000000"/>
          <w:sz w:val="32"/>
          <w:szCs w:val="32"/>
        </w:rPr>
        <w:t>年农业</w:t>
      </w:r>
      <w:r>
        <w:rPr>
          <w:rFonts w:hint="eastAsia" w:eastAsia="仿宋_GB2312"/>
          <w:color w:val="000000"/>
          <w:sz w:val="32"/>
          <w:szCs w:val="32"/>
          <w:lang w:eastAsia="zh-CN"/>
        </w:rPr>
        <w:t>转移支付预算指标</w:t>
      </w:r>
      <w:r>
        <w:rPr>
          <w:rFonts w:eastAsia="仿宋_GB2312"/>
          <w:color w:val="000000"/>
          <w:sz w:val="32"/>
          <w:szCs w:val="32"/>
        </w:rPr>
        <w:t>的通知》（津财农指〔202</w:t>
      </w:r>
      <w:r>
        <w:rPr>
          <w:rFonts w:hint="eastAsia" w:eastAsia="仿宋_GB2312"/>
          <w:color w:val="000000"/>
          <w:sz w:val="32"/>
          <w:szCs w:val="32"/>
          <w:lang w:val="en-US" w:eastAsia="zh-CN"/>
        </w:rPr>
        <w:t>1</w:t>
      </w:r>
      <w:r>
        <w:rPr>
          <w:rFonts w:eastAsia="仿宋_GB2312"/>
          <w:color w:val="000000"/>
          <w:sz w:val="32"/>
          <w:szCs w:val="32"/>
        </w:rPr>
        <w:t>〕4</w:t>
      </w:r>
      <w:r>
        <w:rPr>
          <w:rFonts w:hint="eastAsia" w:eastAsia="仿宋_GB2312"/>
          <w:color w:val="000000"/>
          <w:sz w:val="32"/>
          <w:szCs w:val="32"/>
          <w:lang w:val="en-US" w:eastAsia="zh-CN"/>
        </w:rPr>
        <w:t>7</w:t>
      </w:r>
      <w:r>
        <w:rPr>
          <w:rFonts w:eastAsia="仿宋_GB2312"/>
          <w:color w:val="000000"/>
          <w:sz w:val="32"/>
          <w:szCs w:val="32"/>
        </w:rPr>
        <w:t>号）、《天津市财政局关于下达</w:t>
      </w:r>
      <w:r>
        <w:rPr>
          <w:rFonts w:hint="eastAsia" w:eastAsia="仿宋_GB2312"/>
          <w:color w:val="000000"/>
          <w:sz w:val="32"/>
          <w:szCs w:val="32"/>
          <w:lang w:val="en-US" w:eastAsia="zh-CN"/>
        </w:rPr>
        <w:t>2022年</w:t>
      </w:r>
      <w:r>
        <w:rPr>
          <w:rFonts w:eastAsia="仿宋_GB2312"/>
          <w:color w:val="000000"/>
          <w:sz w:val="32"/>
          <w:szCs w:val="32"/>
        </w:rPr>
        <w:t>第二笔</w:t>
      </w:r>
      <w:r>
        <w:rPr>
          <w:rFonts w:hint="eastAsia" w:eastAsia="仿宋_GB2312"/>
          <w:color w:val="000000"/>
          <w:sz w:val="32"/>
          <w:szCs w:val="32"/>
          <w:lang w:eastAsia="zh-CN"/>
        </w:rPr>
        <w:t>中央</w:t>
      </w:r>
      <w:r>
        <w:rPr>
          <w:rFonts w:eastAsia="仿宋_GB2312"/>
          <w:color w:val="000000"/>
          <w:sz w:val="32"/>
          <w:szCs w:val="32"/>
        </w:rPr>
        <w:t>农业保险保费补贴</w:t>
      </w:r>
      <w:r>
        <w:rPr>
          <w:rFonts w:hint="eastAsia" w:eastAsia="仿宋_GB2312"/>
          <w:color w:val="000000"/>
          <w:sz w:val="32"/>
          <w:szCs w:val="32"/>
          <w:lang w:eastAsia="zh-CN"/>
        </w:rPr>
        <w:t>预算指标</w:t>
      </w:r>
      <w:r>
        <w:rPr>
          <w:rFonts w:eastAsia="仿宋_GB2312"/>
          <w:color w:val="000000"/>
          <w:sz w:val="32"/>
          <w:szCs w:val="32"/>
        </w:rPr>
        <w:t>的通知》（津财农指〔202</w:t>
      </w:r>
      <w:r>
        <w:rPr>
          <w:rFonts w:hint="eastAsia" w:eastAsia="仿宋_GB2312"/>
          <w:color w:val="000000"/>
          <w:sz w:val="32"/>
          <w:szCs w:val="32"/>
          <w:lang w:val="en-US" w:eastAsia="zh-CN"/>
        </w:rPr>
        <w:t>2</w:t>
      </w:r>
      <w:r>
        <w:rPr>
          <w:rFonts w:eastAsia="仿宋_GB2312"/>
          <w:color w:val="000000"/>
          <w:sz w:val="32"/>
          <w:szCs w:val="32"/>
        </w:rPr>
        <w:t>〕</w:t>
      </w:r>
      <w:r>
        <w:rPr>
          <w:rFonts w:hint="eastAsia" w:eastAsia="仿宋_GB2312"/>
          <w:color w:val="000000"/>
          <w:sz w:val="32"/>
          <w:szCs w:val="32"/>
          <w:lang w:val="en-US" w:eastAsia="zh-CN"/>
        </w:rPr>
        <w:t>61</w:t>
      </w:r>
      <w:r>
        <w:rPr>
          <w:rFonts w:eastAsia="仿宋_GB2312"/>
          <w:color w:val="000000"/>
          <w:sz w:val="32"/>
          <w:szCs w:val="32"/>
        </w:rPr>
        <w:t>号），将202</w:t>
      </w:r>
      <w:r>
        <w:rPr>
          <w:rFonts w:hint="eastAsia" w:eastAsia="仿宋_GB2312"/>
          <w:color w:val="000000"/>
          <w:sz w:val="32"/>
          <w:szCs w:val="32"/>
          <w:lang w:val="en-US" w:eastAsia="zh-CN"/>
        </w:rPr>
        <w:t>2</w:t>
      </w:r>
      <w:r>
        <w:rPr>
          <w:rFonts w:eastAsia="仿宋_GB2312"/>
          <w:color w:val="000000"/>
          <w:sz w:val="32"/>
          <w:szCs w:val="32"/>
        </w:rPr>
        <w:t>年中央财政农业保险保费补贴预算资金</w:t>
      </w:r>
      <w:r>
        <w:rPr>
          <w:rFonts w:hint="eastAsia" w:eastAsia="仿宋_GB2312"/>
          <w:sz w:val="32"/>
          <w:szCs w:val="32"/>
          <w:lang w:val="en-US" w:eastAsia="zh-CN"/>
        </w:rPr>
        <w:t>8343</w:t>
      </w:r>
      <w:r>
        <w:rPr>
          <w:rFonts w:eastAsia="仿宋_GB2312"/>
          <w:color w:val="000000"/>
          <w:sz w:val="32"/>
          <w:szCs w:val="32"/>
        </w:rPr>
        <w:t>万元全部下达。</w:t>
      </w:r>
    </w:p>
    <w:p w14:paraId="473FCD4D">
      <w:pPr>
        <w:spacing w:line="540" w:lineRule="exact"/>
        <w:ind w:firstLine="643" w:firstLineChars="200"/>
        <w:rPr>
          <w:rFonts w:eastAsia="仿宋_GB2312"/>
          <w:color w:val="auto"/>
          <w:sz w:val="32"/>
          <w:szCs w:val="32"/>
        </w:rPr>
      </w:pPr>
      <w:r>
        <w:rPr>
          <w:rFonts w:eastAsia="仿宋_GB2312"/>
          <w:b/>
          <w:color w:val="auto"/>
          <w:sz w:val="32"/>
          <w:szCs w:val="32"/>
        </w:rPr>
        <w:t>2.项目资金执行情况分析。</w:t>
      </w:r>
      <w:r>
        <w:rPr>
          <w:rFonts w:eastAsia="仿宋_GB2312"/>
          <w:color w:val="auto"/>
          <w:sz w:val="32"/>
          <w:szCs w:val="32"/>
        </w:rPr>
        <w:t>年度资金总额</w:t>
      </w:r>
      <w:r>
        <w:rPr>
          <w:rFonts w:hint="eastAsia" w:eastAsia="仿宋_GB2312"/>
          <w:color w:val="auto"/>
          <w:sz w:val="32"/>
          <w:szCs w:val="32"/>
          <w:lang w:val="en-US" w:eastAsia="zh-CN"/>
        </w:rPr>
        <w:t>13600</w:t>
      </w:r>
      <w:r>
        <w:rPr>
          <w:rFonts w:eastAsia="仿宋_GB2312"/>
          <w:color w:val="auto"/>
          <w:sz w:val="32"/>
          <w:szCs w:val="32"/>
        </w:rPr>
        <w:t>万元、已执行</w:t>
      </w:r>
      <w:r>
        <w:rPr>
          <w:rFonts w:hint="eastAsia" w:eastAsia="仿宋_GB2312"/>
          <w:color w:val="auto"/>
          <w:sz w:val="32"/>
          <w:szCs w:val="32"/>
          <w:lang w:val="en-US" w:eastAsia="zh-CN"/>
        </w:rPr>
        <w:t>10200</w:t>
      </w:r>
      <w:r>
        <w:rPr>
          <w:rFonts w:eastAsia="仿宋_GB2312"/>
          <w:color w:val="auto"/>
          <w:sz w:val="32"/>
          <w:szCs w:val="32"/>
        </w:rPr>
        <w:t>万元、执行率</w:t>
      </w:r>
      <w:r>
        <w:rPr>
          <w:rFonts w:hint="eastAsia" w:eastAsia="仿宋_GB2312"/>
          <w:color w:val="auto"/>
          <w:sz w:val="32"/>
          <w:szCs w:val="32"/>
          <w:lang w:val="en-US" w:eastAsia="zh-CN"/>
        </w:rPr>
        <w:t>75</w:t>
      </w:r>
      <w:r>
        <w:rPr>
          <w:rFonts w:eastAsia="仿宋_GB2312"/>
          <w:color w:val="auto"/>
          <w:sz w:val="32"/>
          <w:szCs w:val="32"/>
        </w:rPr>
        <w:t>%，其中：中央财政资金</w:t>
      </w:r>
      <w:r>
        <w:rPr>
          <w:rFonts w:hint="eastAsia" w:eastAsia="仿宋_GB2312"/>
          <w:color w:val="auto"/>
          <w:sz w:val="32"/>
          <w:szCs w:val="32"/>
          <w:lang w:val="en-US" w:eastAsia="zh-CN"/>
        </w:rPr>
        <w:t>8343</w:t>
      </w:r>
      <w:r>
        <w:rPr>
          <w:rFonts w:eastAsia="仿宋_GB2312"/>
          <w:color w:val="auto"/>
          <w:sz w:val="32"/>
          <w:szCs w:val="32"/>
        </w:rPr>
        <w:t>万元、已执行</w:t>
      </w:r>
      <w:r>
        <w:rPr>
          <w:rFonts w:hint="eastAsia" w:eastAsia="仿宋_GB2312"/>
          <w:color w:val="auto"/>
          <w:sz w:val="32"/>
          <w:szCs w:val="32"/>
          <w:lang w:val="en-US" w:eastAsia="zh-CN"/>
        </w:rPr>
        <w:t>4945</w:t>
      </w:r>
      <w:r>
        <w:rPr>
          <w:rFonts w:eastAsia="仿宋_GB2312"/>
          <w:color w:val="auto"/>
          <w:sz w:val="32"/>
          <w:szCs w:val="32"/>
        </w:rPr>
        <w:t>万元、执行率</w:t>
      </w:r>
      <w:r>
        <w:rPr>
          <w:rFonts w:hint="eastAsia" w:eastAsia="仿宋_GB2312"/>
          <w:color w:val="auto"/>
          <w:sz w:val="32"/>
          <w:szCs w:val="32"/>
          <w:lang w:val="en-US" w:eastAsia="zh-CN"/>
        </w:rPr>
        <w:t>59.3</w:t>
      </w:r>
      <w:r>
        <w:rPr>
          <w:rFonts w:eastAsia="仿宋_GB2312"/>
          <w:color w:val="auto"/>
          <w:sz w:val="32"/>
          <w:szCs w:val="32"/>
        </w:rPr>
        <w:t>%，地方资金</w:t>
      </w:r>
      <w:r>
        <w:rPr>
          <w:rFonts w:hint="eastAsia" w:eastAsia="仿宋_GB2312"/>
          <w:color w:val="auto"/>
          <w:sz w:val="32"/>
          <w:szCs w:val="32"/>
          <w:lang w:val="en-US" w:eastAsia="zh-CN"/>
        </w:rPr>
        <w:t>1750</w:t>
      </w:r>
      <w:r>
        <w:rPr>
          <w:rFonts w:eastAsia="仿宋_GB2312"/>
          <w:color w:val="auto"/>
          <w:sz w:val="32"/>
          <w:szCs w:val="32"/>
        </w:rPr>
        <w:t>万元、已执行</w:t>
      </w:r>
      <w:r>
        <w:rPr>
          <w:rFonts w:hint="eastAsia" w:eastAsia="仿宋_GB2312"/>
          <w:color w:val="auto"/>
          <w:sz w:val="32"/>
          <w:szCs w:val="32"/>
          <w:lang w:val="en-US" w:eastAsia="zh-CN"/>
        </w:rPr>
        <w:t>1750</w:t>
      </w:r>
      <w:r>
        <w:rPr>
          <w:rFonts w:eastAsia="仿宋_GB2312"/>
          <w:color w:val="auto"/>
          <w:sz w:val="32"/>
          <w:szCs w:val="32"/>
        </w:rPr>
        <w:t>万元、执行率</w:t>
      </w:r>
      <w:r>
        <w:rPr>
          <w:rFonts w:hint="eastAsia" w:eastAsia="仿宋_GB2312"/>
          <w:color w:val="auto"/>
          <w:sz w:val="32"/>
          <w:szCs w:val="32"/>
          <w:lang w:val="en-US" w:eastAsia="zh-CN"/>
        </w:rPr>
        <w:t>100</w:t>
      </w:r>
      <w:r>
        <w:rPr>
          <w:rFonts w:eastAsia="仿宋_GB2312"/>
          <w:color w:val="auto"/>
          <w:sz w:val="32"/>
          <w:szCs w:val="32"/>
        </w:rPr>
        <w:t>%，其他资金</w:t>
      </w:r>
      <w:r>
        <w:rPr>
          <w:rFonts w:hint="eastAsia" w:eastAsia="仿宋_GB2312"/>
          <w:color w:val="auto"/>
          <w:sz w:val="32"/>
          <w:szCs w:val="32"/>
          <w:lang w:val="en-US" w:eastAsia="zh-CN"/>
        </w:rPr>
        <w:t>3507</w:t>
      </w:r>
      <w:r>
        <w:rPr>
          <w:rFonts w:eastAsia="仿宋_GB2312"/>
          <w:color w:val="auto"/>
          <w:sz w:val="32"/>
          <w:szCs w:val="32"/>
        </w:rPr>
        <w:t>万元、已执行</w:t>
      </w:r>
      <w:r>
        <w:rPr>
          <w:rFonts w:hint="eastAsia" w:eastAsia="仿宋_GB2312"/>
          <w:color w:val="auto"/>
          <w:sz w:val="32"/>
          <w:szCs w:val="32"/>
          <w:lang w:val="en-US" w:eastAsia="zh-CN"/>
        </w:rPr>
        <w:t>3507</w:t>
      </w:r>
      <w:r>
        <w:rPr>
          <w:rFonts w:eastAsia="仿宋_GB2312"/>
          <w:color w:val="auto"/>
          <w:sz w:val="32"/>
          <w:szCs w:val="32"/>
        </w:rPr>
        <w:t>万元、执行率100%。</w:t>
      </w:r>
    </w:p>
    <w:p w14:paraId="14271C38">
      <w:pPr>
        <w:spacing w:line="540" w:lineRule="exact"/>
        <w:ind w:firstLine="643" w:firstLineChars="200"/>
        <w:rPr>
          <w:rFonts w:eastAsia="仿宋_GB2312"/>
          <w:sz w:val="32"/>
          <w:szCs w:val="32"/>
        </w:rPr>
      </w:pPr>
      <w:r>
        <w:rPr>
          <w:rFonts w:eastAsia="仿宋_GB2312"/>
          <w:b/>
          <w:color w:val="000000"/>
          <w:sz w:val="32"/>
          <w:szCs w:val="32"/>
        </w:rPr>
        <w:t>3.项目资金管理情况分析。</w:t>
      </w:r>
      <w:r>
        <w:rPr>
          <w:rFonts w:eastAsia="仿宋_GB2312"/>
          <w:sz w:val="32"/>
          <w:szCs w:val="32"/>
        </w:rPr>
        <w:t>我市按照财政部要求，及时分解下达中央财政农业</w:t>
      </w:r>
      <w:r>
        <w:rPr>
          <w:rFonts w:hint="eastAsia" w:eastAsia="仿宋_GB2312"/>
          <w:sz w:val="32"/>
          <w:szCs w:val="32"/>
          <w:lang w:eastAsia="zh-CN"/>
        </w:rPr>
        <w:t>保险保费</w:t>
      </w:r>
      <w:r>
        <w:rPr>
          <w:rFonts w:eastAsia="仿宋_GB2312"/>
          <w:sz w:val="32"/>
          <w:szCs w:val="32"/>
        </w:rPr>
        <w:t>费补贴资金，资金使用管理符合《关于加快天津市农业保险高质量发展的实施方案》（津财农〔2020〕13号）、《</w:t>
      </w:r>
      <w:r>
        <w:rPr>
          <w:rFonts w:hint="eastAsia" w:eastAsia="仿宋_GB2312"/>
          <w:sz w:val="32"/>
          <w:szCs w:val="32"/>
          <w:lang w:eastAsia="zh-CN"/>
        </w:rPr>
        <w:t>市财政局市农业农村委天津银保监局关于转发〈财政部关于印发中央财政农业保险保费补贴管理办法的通知〉的通知</w:t>
      </w:r>
      <w:r>
        <w:rPr>
          <w:rFonts w:eastAsia="仿宋_GB2312"/>
          <w:sz w:val="32"/>
          <w:szCs w:val="32"/>
        </w:rPr>
        <w:t>》（津财</w:t>
      </w:r>
      <w:r>
        <w:rPr>
          <w:rFonts w:hint="eastAsia" w:eastAsia="仿宋_GB2312"/>
          <w:sz w:val="32"/>
          <w:szCs w:val="32"/>
          <w:lang w:eastAsia="zh-CN"/>
        </w:rPr>
        <w:t>农</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29</w:t>
      </w:r>
      <w:r>
        <w:rPr>
          <w:rFonts w:eastAsia="仿宋_GB2312"/>
          <w:sz w:val="32"/>
          <w:szCs w:val="32"/>
        </w:rPr>
        <w:t>号）规定。</w:t>
      </w:r>
    </w:p>
    <w:p w14:paraId="74CAADF9">
      <w:pPr>
        <w:spacing w:line="540" w:lineRule="exact"/>
        <w:ind w:firstLine="640" w:firstLineChars="200"/>
        <w:outlineLvl w:val="0"/>
        <w:rPr>
          <w:rFonts w:eastAsia="楷体_GB2312"/>
          <w:b w:val="0"/>
          <w:bCs w:val="0"/>
          <w:sz w:val="32"/>
          <w:szCs w:val="32"/>
        </w:rPr>
      </w:pPr>
      <w:r>
        <w:rPr>
          <w:rFonts w:eastAsia="楷体_GB2312"/>
          <w:b w:val="0"/>
          <w:bCs w:val="0"/>
          <w:sz w:val="32"/>
          <w:szCs w:val="32"/>
        </w:rPr>
        <w:t>（二）总体绩效目标完成情况分析。</w:t>
      </w:r>
    </w:p>
    <w:p w14:paraId="6909EFE9">
      <w:pPr>
        <w:spacing w:line="540" w:lineRule="exact"/>
        <w:ind w:firstLine="640" w:firstLineChars="200"/>
        <w:outlineLvl w:val="0"/>
        <w:rPr>
          <w:rFonts w:eastAsia="仿宋_GB2312"/>
          <w:sz w:val="32"/>
          <w:szCs w:val="32"/>
        </w:rPr>
      </w:pPr>
      <w:r>
        <w:rPr>
          <w:rFonts w:eastAsia="仿宋_GB2312"/>
          <w:color w:val="000000"/>
          <w:sz w:val="32"/>
          <w:szCs w:val="32"/>
        </w:rPr>
        <w:t>202</w:t>
      </w:r>
      <w:r>
        <w:rPr>
          <w:rFonts w:hint="eastAsia" w:eastAsia="仿宋_GB2312"/>
          <w:color w:val="000000"/>
          <w:sz w:val="32"/>
          <w:szCs w:val="32"/>
          <w:lang w:val="en-US" w:eastAsia="zh-CN"/>
        </w:rPr>
        <w:t>2</w:t>
      </w:r>
      <w:r>
        <w:rPr>
          <w:rFonts w:eastAsia="仿宋_GB2312"/>
          <w:color w:val="000000"/>
          <w:sz w:val="32"/>
          <w:szCs w:val="32"/>
        </w:rPr>
        <w:t>年财政部下达我市年度总体绩效目标为：“</w:t>
      </w:r>
      <w:r>
        <w:rPr>
          <w:rFonts w:eastAsia="仿宋_GB2312"/>
          <w:sz w:val="32"/>
          <w:szCs w:val="32"/>
        </w:rPr>
        <w:t>1.引导和支持农户参加农业保险；2.中央</w:t>
      </w:r>
      <w:r>
        <w:rPr>
          <w:rFonts w:hint="eastAsia" w:eastAsia="仿宋_GB2312"/>
          <w:sz w:val="32"/>
          <w:szCs w:val="32"/>
          <w:lang w:eastAsia="zh-CN"/>
        </w:rPr>
        <w:t>和省级</w:t>
      </w:r>
      <w:r>
        <w:rPr>
          <w:rFonts w:eastAsia="仿宋_GB2312"/>
          <w:sz w:val="32"/>
          <w:szCs w:val="32"/>
        </w:rPr>
        <w:t>财政主要保障关系国计民生和粮食安全的大宗农产品，重点支持农业生产环节；3.不断扩大农业保险覆盖面和风险保障水平，逐步建立市场化的农业生产风险防范化解机制；4.稳定农业生产，保障农民收入</w:t>
      </w:r>
      <w:r>
        <w:rPr>
          <w:rFonts w:eastAsia="仿宋_GB2312"/>
          <w:color w:val="000000"/>
          <w:sz w:val="32"/>
          <w:szCs w:val="32"/>
        </w:rPr>
        <w:t>”，</w:t>
      </w:r>
      <w:r>
        <w:rPr>
          <w:rFonts w:eastAsia="仿宋_GB2312"/>
          <w:sz w:val="32"/>
          <w:szCs w:val="32"/>
        </w:rPr>
        <w:t>上述目标截至目前已全部完成。</w:t>
      </w:r>
    </w:p>
    <w:p w14:paraId="527A140E">
      <w:pPr>
        <w:spacing w:line="540" w:lineRule="exact"/>
        <w:ind w:firstLine="640" w:firstLineChars="200"/>
        <w:outlineLvl w:val="0"/>
        <w:rPr>
          <w:rFonts w:eastAsia="仿宋_GB2312"/>
          <w:sz w:val="32"/>
          <w:szCs w:val="32"/>
        </w:rPr>
      </w:pPr>
      <w:r>
        <w:rPr>
          <w:rFonts w:eastAsia="仿宋_GB2312"/>
          <w:sz w:val="32"/>
          <w:szCs w:val="32"/>
        </w:rPr>
        <w:t>全年实际完成情如下：1.按照年度工作计划，引导和支持农户参加农业保险；2.202</w:t>
      </w:r>
      <w:r>
        <w:rPr>
          <w:rFonts w:hint="eastAsia" w:eastAsia="仿宋_GB2312"/>
          <w:sz w:val="32"/>
          <w:szCs w:val="32"/>
          <w:lang w:val="en-US" w:eastAsia="zh-CN"/>
        </w:rPr>
        <w:t>2</w:t>
      </w:r>
      <w:r>
        <w:rPr>
          <w:rFonts w:eastAsia="仿宋_GB2312"/>
          <w:sz w:val="32"/>
          <w:szCs w:val="32"/>
        </w:rPr>
        <w:t>年我市共开展10个中央补贴目录险种，覆盖农业种养重点品种；3.202</w:t>
      </w:r>
      <w:r>
        <w:rPr>
          <w:rFonts w:hint="eastAsia" w:eastAsia="仿宋_GB2312"/>
          <w:sz w:val="32"/>
          <w:szCs w:val="32"/>
          <w:lang w:val="en-US" w:eastAsia="zh-CN"/>
        </w:rPr>
        <w:t>2</w:t>
      </w:r>
      <w:r>
        <w:rPr>
          <w:rFonts w:eastAsia="仿宋_GB2312"/>
          <w:sz w:val="32"/>
          <w:szCs w:val="32"/>
        </w:rPr>
        <w:t>年我市农业保险覆盖面不断扩大，政策性、商业性农险险种不断丰富、互为补充；4.202</w:t>
      </w:r>
      <w:r>
        <w:rPr>
          <w:rFonts w:hint="eastAsia" w:eastAsia="仿宋_GB2312"/>
          <w:sz w:val="32"/>
          <w:szCs w:val="32"/>
          <w:lang w:val="en-US" w:eastAsia="zh-CN"/>
        </w:rPr>
        <w:t>2</w:t>
      </w:r>
      <w:r>
        <w:rPr>
          <w:rFonts w:eastAsia="仿宋_GB2312"/>
          <w:sz w:val="32"/>
          <w:szCs w:val="32"/>
        </w:rPr>
        <w:t>年为</w:t>
      </w:r>
      <w:r>
        <w:rPr>
          <w:rFonts w:hint="eastAsia" w:eastAsia="仿宋_GB2312"/>
          <w:sz w:val="32"/>
          <w:szCs w:val="32"/>
          <w:lang w:val="en-US" w:eastAsia="zh-CN"/>
        </w:rPr>
        <w:t>71.34</w:t>
      </w:r>
      <w:r>
        <w:rPr>
          <w:rFonts w:eastAsia="仿宋_GB2312"/>
          <w:sz w:val="32"/>
          <w:szCs w:val="32"/>
        </w:rPr>
        <w:t>万户农户提供风险保障</w:t>
      </w:r>
      <w:r>
        <w:rPr>
          <w:rFonts w:hint="eastAsia" w:eastAsia="仿宋_GB2312"/>
          <w:sz w:val="32"/>
          <w:szCs w:val="32"/>
          <w:lang w:val="en-US" w:eastAsia="zh-CN"/>
        </w:rPr>
        <w:t>168.28</w:t>
      </w:r>
      <w:r>
        <w:rPr>
          <w:rFonts w:eastAsia="仿宋_GB2312"/>
          <w:sz w:val="32"/>
          <w:szCs w:val="32"/>
        </w:rPr>
        <w:t>亿元，对稳定农业生产，保障农民收入方面发挥了关键性作用。</w:t>
      </w:r>
    </w:p>
    <w:p w14:paraId="3597AA5D">
      <w:pPr>
        <w:spacing w:line="540" w:lineRule="exact"/>
        <w:ind w:firstLine="640" w:firstLineChars="200"/>
        <w:outlineLvl w:val="0"/>
        <w:rPr>
          <w:rFonts w:eastAsia="楷体_GB2312"/>
          <w:b w:val="0"/>
          <w:bCs w:val="0"/>
          <w:sz w:val="32"/>
          <w:szCs w:val="32"/>
        </w:rPr>
      </w:pPr>
      <w:r>
        <w:rPr>
          <w:rFonts w:eastAsia="楷体_GB2312"/>
          <w:b w:val="0"/>
          <w:bCs w:val="0"/>
          <w:sz w:val="32"/>
          <w:szCs w:val="32"/>
        </w:rPr>
        <w:t>（三）绩效指标完成情况分析。</w:t>
      </w:r>
    </w:p>
    <w:p w14:paraId="585FC536">
      <w:pPr>
        <w:spacing w:line="540" w:lineRule="exact"/>
        <w:ind w:firstLine="640" w:firstLineChars="200"/>
        <w:rPr>
          <w:rFonts w:eastAsia="仿宋_GB2312"/>
          <w:color w:val="auto"/>
          <w:sz w:val="32"/>
          <w:szCs w:val="32"/>
        </w:rPr>
      </w:pPr>
      <w:r>
        <w:rPr>
          <w:rFonts w:eastAsia="仿宋_GB2312"/>
          <w:sz w:val="32"/>
          <w:szCs w:val="32"/>
        </w:rPr>
        <w:t>全年共分解下达绩效指标1</w:t>
      </w:r>
      <w:r>
        <w:rPr>
          <w:rFonts w:hint="eastAsia" w:eastAsia="仿宋_GB2312"/>
          <w:sz w:val="32"/>
          <w:szCs w:val="32"/>
          <w:lang w:val="en-US" w:eastAsia="zh-CN"/>
        </w:rPr>
        <w:t>1</w:t>
      </w:r>
      <w:r>
        <w:rPr>
          <w:rFonts w:eastAsia="仿宋_GB2312"/>
          <w:sz w:val="32"/>
          <w:szCs w:val="32"/>
        </w:rPr>
        <w:t>个，</w:t>
      </w:r>
      <w:r>
        <w:rPr>
          <w:rFonts w:eastAsia="仿宋_GB2312"/>
          <w:color w:val="auto"/>
          <w:sz w:val="32"/>
          <w:szCs w:val="32"/>
        </w:rPr>
        <w:t>全部完成。</w:t>
      </w:r>
    </w:p>
    <w:p w14:paraId="4F08B5D9">
      <w:pPr>
        <w:spacing w:line="540" w:lineRule="exact"/>
        <w:ind w:firstLine="640" w:firstLineChars="200"/>
        <w:rPr>
          <w:rFonts w:eastAsia="仿宋_GB2312"/>
          <w:sz w:val="32"/>
          <w:szCs w:val="32"/>
        </w:rPr>
      </w:pPr>
      <w:r>
        <w:rPr>
          <w:rFonts w:eastAsia="仿宋_GB2312"/>
          <w:sz w:val="32"/>
          <w:szCs w:val="32"/>
        </w:rPr>
        <w:t>1.产出指标</w:t>
      </w:r>
      <w:r>
        <w:rPr>
          <w:rFonts w:hint="eastAsia" w:eastAsia="仿宋_GB2312"/>
          <w:sz w:val="32"/>
          <w:szCs w:val="32"/>
          <w:lang w:val="en-US" w:eastAsia="zh-CN"/>
        </w:rPr>
        <w:t>4</w:t>
      </w:r>
      <w:r>
        <w:rPr>
          <w:rFonts w:eastAsia="仿宋_GB2312"/>
          <w:sz w:val="32"/>
          <w:szCs w:val="32"/>
        </w:rPr>
        <w:t>个，全部完成。</w:t>
      </w:r>
    </w:p>
    <w:p w14:paraId="5821D1E9">
      <w:pPr>
        <w:spacing w:line="540" w:lineRule="exact"/>
        <w:ind w:firstLine="640" w:firstLineChars="200"/>
        <w:rPr>
          <w:rFonts w:hint="eastAsia" w:eastAsia="仿宋_GB2312"/>
          <w:sz w:val="32"/>
          <w:szCs w:val="32"/>
          <w:lang w:val="en-US" w:eastAsia="zh-CN"/>
        </w:rPr>
      </w:pPr>
      <w:r>
        <w:rPr>
          <w:rFonts w:eastAsia="仿宋_GB2312"/>
          <w:sz w:val="32"/>
          <w:szCs w:val="32"/>
        </w:rPr>
        <w:t>一是数量指标</w:t>
      </w:r>
      <w:r>
        <w:rPr>
          <w:rFonts w:hint="eastAsia" w:eastAsia="仿宋_GB2312"/>
          <w:sz w:val="32"/>
          <w:szCs w:val="32"/>
          <w:lang w:val="en-US" w:eastAsia="zh-CN"/>
        </w:rPr>
        <w:t>2</w:t>
      </w:r>
      <w:r>
        <w:rPr>
          <w:rFonts w:eastAsia="仿宋_GB2312"/>
          <w:sz w:val="32"/>
          <w:szCs w:val="32"/>
        </w:rPr>
        <w:t>个。202</w:t>
      </w:r>
      <w:r>
        <w:rPr>
          <w:rFonts w:hint="eastAsia" w:eastAsia="仿宋_GB2312"/>
          <w:sz w:val="32"/>
          <w:szCs w:val="32"/>
          <w:lang w:val="en-US" w:eastAsia="zh-CN"/>
        </w:rPr>
        <w:t>2</w:t>
      </w:r>
      <w:r>
        <w:rPr>
          <w:rFonts w:eastAsia="仿宋_GB2312"/>
          <w:sz w:val="32"/>
          <w:szCs w:val="32"/>
        </w:rPr>
        <w:t>年，我市三大粮食作物投保面积覆盖率为</w:t>
      </w:r>
      <w:r>
        <w:rPr>
          <w:rFonts w:hint="eastAsia" w:eastAsia="仿宋_GB2312"/>
          <w:sz w:val="32"/>
          <w:szCs w:val="32"/>
          <w:lang w:val="en-US" w:eastAsia="zh-CN"/>
        </w:rPr>
        <w:t>83.8</w:t>
      </w:r>
      <w:r>
        <w:rPr>
          <w:rFonts w:eastAsia="仿宋_GB2312"/>
          <w:sz w:val="32"/>
          <w:szCs w:val="32"/>
        </w:rPr>
        <w:t>%</w:t>
      </w:r>
      <w:r>
        <w:rPr>
          <w:rFonts w:hint="eastAsia" w:eastAsia="仿宋_GB2312"/>
          <w:sz w:val="32"/>
          <w:szCs w:val="32"/>
          <w:lang w:eastAsia="zh-CN"/>
        </w:rPr>
        <w:t>，高于</w:t>
      </w:r>
      <w:r>
        <w:rPr>
          <w:rFonts w:hint="eastAsia" w:eastAsia="仿宋_GB2312"/>
          <w:sz w:val="32"/>
          <w:szCs w:val="32"/>
          <w:lang w:val="en-US" w:eastAsia="zh-CN"/>
        </w:rPr>
        <w:t>75%的年度目标</w:t>
      </w:r>
      <w:r>
        <w:rPr>
          <w:rFonts w:eastAsia="仿宋_GB2312"/>
          <w:sz w:val="32"/>
          <w:szCs w:val="32"/>
        </w:rPr>
        <w:t>；育肥猪保险覆盖率为</w:t>
      </w:r>
      <w:r>
        <w:rPr>
          <w:rFonts w:hint="eastAsia" w:eastAsia="仿宋_GB2312"/>
          <w:sz w:val="32"/>
          <w:szCs w:val="32"/>
          <w:lang w:val="en-US" w:eastAsia="zh-CN"/>
        </w:rPr>
        <w:t>90.3</w:t>
      </w:r>
      <w:r>
        <w:rPr>
          <w:rFonts w:eastAsia="仿宋_GB2312"/>
          <w:sz w:val="32"/>
          <w:szCs w:val="32"/>
        </w:rPr>
        <w:t>%，</w:t>
      </w:r>
      <w:r>
        <w:rPr>
          <w:rFonts w:hint="eastAsia" w:eastAsia="仿宋_GB2312"/>
          <w:sz w:val="32"/>
          <w:szCs w:val="32"/>
          <w:lang w:eastAsia="zh-CN"/>
        </w:rPr>
        <w:t>高于</w:t>
      </w:r>
      <w:r>
        <w:rPr>
          <w:rFonts w:hint="eastAsia" w:eastAsia="仿宋_GB2312"/>
          <w:sz w:val="32"/>
          <w:szCs w:val="32"/>
          <w:lang w:val="en-US" w:eastAsia="zh-CN"/>
        </w:rPr>
        <w:t>70%的年度目标。</w:t>
      </w:r>
    </w:p>
    <w:p w14:paraId="4D8E4CA5">
      <w:pPr>
        <w:spacing w:line="540" w:lineRule="exact"/>
        <w:ind w:firstLine="640" w:firstLineChars="200"/>
        <w:rPr>
          <w:rFonts w:eastAsia="仿宋_GB2312"/>
          <w:sz w:val="32"/>
          <w:szCs w:val="32"/>
        </w:rPr>
      </w:pPr>
      <w:r>
        <w:rPr>
          <w:rFonts w:eastAsia="仿宋_GB2312"/>
          <w:sz w:val="32"/>
          <w:szCs w:val="32"/>
        </w:rPr>
        <w:t>二是质量指标2个。按照</w:t>
      </w:r>
      <w:bookmarkStart w:id="2" w:name="_GoBack"/>
      <w:bookmarkEnd w:id="2"/>
      <w:r>
        <w:rPr>
          <w:rFonts w:eastAsia="仿宋_GB2312"/>
          <w:sz w:val="32"/>
          <w:szCs w:val="32"/>
        </w:rPr>
        <w:t>《关于加快天津市农业保险高质量发展的实施方案》（津财农〔2020〕13号）、《</w:t>
      </w:r>
      <w:r>
        <w:rPr>
          <w:rFonts w:hint="eastAsia" w:eastAsia="仿宋_GB2312"/>
          <w:sz w:val="32"/>
          <w:szCs w:val="32"/>
          <w:lang w:eastAsia="zh-CN"/>
        </w:rPr>
        <w:t>市财政局市农业农村委天津银保监局关于转发〈财政部关于印发中央财政农业保险保费补贴管理办法的通知〉的通知</w:t>
      </w:r>
      <w:r>
        <w:rPr>
          <w:rFonts w:eastAsia="仿宋_GB2312"/>
          <w:sz w:val="32"/>
          <w:szCs w:val="32"/>
        </w:rPr>
        <w:t>》（津财</w:t>
      </w:r>
      <w:r>
        <w:rPr>
          <w:rFonts w:hint="eastAsia" w:eastAsia="仿宋_GB2312"/>
          <w:sz w:val="32"/>
          <w:szCs w:val="32"/>
          <w:lang w:eastAsia="zh-CN"/>
        </w:rPr>
        <w:t>农</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29</w:t>
      </w:r>
      <w:r>
        <w:rPr>
          <w:rFonts w:eastAsia="仿宋_GB2312"/>
          <w:sz w:val="32"/>
          <w:szCs w:val="32"/>
        </w:rPr>
        <w:t>号）</w:t>
      </w:r>
      <w:r>
        <w:rPr>
          <w:rFonts w:hint="eastAsia" w:eastAsia="仿宋_GB2312"/>
          <w:sz w:val="32"/>
          <w:szCs w:val="32"/>
          <w:lang w:eastAsia="zh-CN"/>
        </w:rPr>
        <w:t>，</w:t>
      </w:r>
      <w:r>
        <w:rPr>
          <w:rFonts w:eastAsia="仿宋_GB2312"/>
          <w:sz w:val="32"/>
          <w:szCs w:val="32"/>
        </w:rPr>
        <w:t>现使用条款的保险金额已覆盖直接物化成本或饲养成本，财政补贴险种不设置绝对免赔，上述指标均达到年度指标值要求。</w:t>
      </w:r>
    </w:p>
    <w:p w14:paraId="62C15DE1">
      <w:pPr>
        <w:spacing w:line="540" w:lineRule="exact"/>
        <w:ind w:firstLine="640" w:firstLineChars="200"/>
        <w:rPr>
          <w:rFonts w:eastAsia="仿宋_GB2312"/>
          <w:sz w:val="32"/>
          <w:szCs w:val="32"/>
        </w:rPr>
      </w:pPr>
      <w:r>
        <w:rPr>
          <w:rFonts w:eastAsia="仿宋_GB2312"/>
          <w:sz w:val="32"/>
          <w:szCs w:val="32"/>
        </w:rPr>
        <w:t>2.效益指标5个，全部完成。</w:t>
      </w:r>
    </w:p>
    <w:p w14:paraId="4AF0DCE1">
      <w:pPr>
        <w:spacing w:line="540" w:lineRule="exact"/>
        <w:ind w:firstLine="640" w:firstLineChars="200"/>
        <w:rPr>
          <w:rFonts w:eastAsia="仿宋_GB2312"/>
          <w:sz w:val="32"/>
          <w:szCs w:val="32"/>
        </w:rPr>
      </w:pPr>
      <w:r>
        <w:rPr>
          <w:rFonts w:eastAsia="仿宋_GB2312"/>
          <w:sz w:val="32"/>
          <w:szCs w:val="32"/>
        </w:rPr>
        <w:t>一是经济效益指标2个。农业保险综合</w:t>
      </w:r>
      <w:r>
        <w:rPr>
          <w:rFonts w:hint="eastAsia" w:eastAsia="仿宋_GB2312"/>
          <w:sz w:val="32"/>
          <w:szCs w:val="32"/>
          <w:lang w:eastAsia="zh-CN"/>
        </w:rPr>
        <w:t>费用率</w:t>
      </w:r>
      <w:r>
        <w:rPr>
          <w:rFonts w:hint="default" w:eastAsia="仿宋_GB2312"/>
          <w:sz w:val="32"/>
          <w:szCs w:val="32"/>
          <w:lang w:val="en" w:eastAsia="zh-CN"/>
        </w:rPr>
        <w:t>14.3</w:t>
      </w:r>
      <w:r>
        <w:rPr>
          <w:rFonts w:hint="eastAsia" w:eastAsia="仿宋_GB2312"/>
          <w:sz w:val="32"/>
          <w:szCs w:val="32"/>
          <w:lang w:eastAsia="zh-CN"/>
        </w:rPr>
        <w:t>%，达到不高于</w:t>
      </w:r>
      <w:r>
        <w:rPr>
          <w:rFonts w:hint="eastAsia" w:eastAsia="仿宋_GB2312"/>
          <w:sz w:val="32"/>
          <w:szCs w:val="32"/>
          <w:lang w:val="en-US" w:eastAsia="zh-CN"/>
        </w:rPr>
        <w:t>20%的</w:t>
      </w:r>
      <w:r>
        <w:rPr>
          <w:rFonts w:hint="eastAsia" w:eastAsia="仿宋_GB2312"/>
          <w:sz w:val="32"/>
          <w:szCs w:val="32"/>
          <w:lang w:eastAsia="zh-CN"/>
        </w:rPr>
        <w:t>年度指标值要求。202</w:t>
      </w:r>
      <w:r>
        <w:rPr>
          <w:rFonts w:hint="eastAsia" w:eastAsia="仿宋_GB2312"/>
          <w:sz w:val="32"/>
          <w:szCs w:val="32"/>
          <w:lang w:val="en-US" w:eastAsia="zh-CN"/>
        </w:rPr>
        <w:t>2</w:t>
      </w:r>
      <w:r>
        <w:rPr>
          <w:rFonts w:hint="eastAsia" w:eastAsia="仿宋_GB2312"/>
          <w:sz w:val="32"/>
          <w:szCs w:val="32"/>
          <w:lang w:eastAsia="zh-CN"/>
        </w:rPr>
        <w:t>年风险保障总额</w:t>
      </w:r>
      <w:r>
        <w:rPr>
          <w:rFonts w:hint="eastAsia" w:eastAsia="仿宋_GB2312"/>
          <w:sz w:val="32"/>
          <w:szCs w:val="32"/>
          <w:lang w:val="en-US" w:eastAsia="zh-CN"/>
        </w:rPr>
        <w:t>168.28亿元，实现了</w:t>
      </w:r>
      <w:r>
        <w:rPr>
          <w:rFonts w:eastAsia="仿宋_GB2312"/>
          <w:sz w:val="32"/>
          <w:szCs w:val="32"/>
        </w:rPr>
        <w:t>高于去年164.18亿元</w:t>
      </w:r>
      <w:r>
        <w:rPr>
          <w:rFonts w:hint="eastAsia" w:eastAsia="仿宋_GB2312"/>
          <w:sz w:val="32"/>
          <w:szCs w:val="32"/>
          <w:lang w:eastAsia="zh-CN"/>
        </w:rPr>
        <w:t>的年度目标</w:t>
      </w:r>
      <w:r>
        <w:rPr>
          <w:rFonts w:eastAsia="仿宋_GB2312"/>
          <w:sz w:val="32"/>
          <w:szCs w:val="32"/>
        </w:rPr>
        <w:t>。</w:t>
      </w:r>
    </w:p>
    <w:p w14:paraId="7C2EACDE">
      <w:pPr>
        <w:spacing w:line="540" w:lineRule="exact"/>
        <w:ind w:firstLine="640" w:firstLineChars="200"/>
        <w:rPr>
          <w:rFonts w:eastAsia="仿宋_GB2312"/>
          <w:sz w:val="32"/>
          <w:szCs w:val="32"/>
        </w:rPr>
      </w:pPr>
      <w:r>
        <w:rPr>
          <w:rFonts w:eastAsia="仿宋_GB2312"/>
          <w:sz w:val="32"/>
          <w:szCs w:val="32"/>
        </w:rPr>
        <w:t>二是社会效益指标3个，全部完成。202</w:t>
      </w:r>
      <w:r>
        <w:rPr>
          <w:rFonts w:hint="eastAsia" w:eastAsia="仿宋_GB2312"/>
          <w:sz w:val="32"/>
          <w:szCs w:val="32"/>
          <w:lang w:val="en-US" w:eastAsia="zh-CN"/>
        </w:rPr>
        <w:t>2</w:t>
      </w:r>
      <w:r>
        <w:rPr>
          <w:rFonts w:eastAsia="仿宋_GB2312"/>
          <w:sz w:val="32"/>
          <w:szCs w:val="32"/>
        </w:rPr>
        <w:t>年我市经办机构区级分支机构覆盖率达到100%，通过农业保险政策实施，对稳定农业生产、调节种养品种、促进适度规模经营起到了积极作用，有利于农业保险行业的农村金融服务发展，完善农村金融体系得到进一步完善。</w:t>
      </w:r>
    </w:p>
    <w:p w14:paraId="653AB89E">
      <w:pPr>
        <w:spacing w:line="540" w:lineRule="exact"/>
        <w:ind w:firstLine="640" w:firstLineChars="200"/>
        <w:rPr>
          <w:rFonts w:eastAsia="仿宋_GB2312"/>
          <w:sz w:val="32"/>
          <w:szCs w:val="32"/>
        </w:rPr>
      </w:pPr>
      <w:r>
        <w:rPr>
          <w:rFonts w:eastAsia="仿宋_GB2312"/>
          <w:sz w:val="32"/>
          <w:szCs w:val="32"/>
        </w:rPr>
        <w:t>3.满意度指标2个，全部完成。</w:t>
      </w:r>
    </w:p>
    <w:p w14:paraId="08CB381B">
      <w:pPr>
        <w:spacing w:line="540" w:lineRule="exact"/>
        <w:ind w:firstLine="640" w:firstLineChars="200"/>
        <w:rPr>
          <w:rFonts w:eastAsia="仿宋_GB2312"/>
          <w:sz w:val="32"/>
          <w:szCs w:val="32"/>
          <w:highlight w:val="yellow"/>
        </w:rPr>
      </w:pPr>
      <w:r>
        <w:rPr>
          <w:rFonts w:eastAsia="仿宋_GB2312"/>
          <w:sz w:val="32"/>
          <w:szCs w:val="32"/>
        </w:rPr>
        <w:t>202</w:t>
      </w:r>
      <w:r>
        <w:rPr>
          <w:rFonts w:hint="eastAsia" w:eastAsia="仿宋_GB2312"/>
          <w:sz w:val="32"/>
          <w:szCs w:val="32"/>
          <w:lang w:val="en-US" w:eastAsia="zh-CN"/>
        </w:rPr>
        <w:t>2</w:t>
      </w:r>
      <w:r>
        <w:rPr>
          <w:rFonts w:eastAsia="仿宋_GB2312"/>
          <w:sz w:val="32"/>
          <w:szCs w:val="32"/>
        </w:rPr>
        <w:t>年我市农险业务承保理赔公示率100%</w:t>
      </w:r>
      <w:r>
        <w:rPr>
          <w:rFonts w:hint="eastAsia" w:eastAsia="仿宋_GB2312"/>
          <w:sz w:val="32"/>
          <w:szCs w:val="32"/>
          <w:lang w:eastAsia="zh-CN"/>
        </w:rPr>
        <w:t>，实现年度目标</w:t>
      </w:r>
      <w:r>
        <w:rPr>
          <w:rFonts w:eastAsia="仿宋_GB2312"/>
          <w:sz w:val="32"/>
          <w:szCs w:val="32"/>
        </w:rPr>
        <w:t>；参保农户满意度</w:t>
      </w:r>
      <w:r>
        <w:rPr>
          <w:rFonts w:eastAsia="仿宋_GB2312"/>
          <w:color w:val="auto"/>
          <w:sz w:val="32"/>
          <w:szCs w:val="32"/>
        </w:rPr>
        <w:t>9</w:t>
      </w:r>
      <w:r>
        <w:rPr>
          <w:rFonts w:hint="eastAsia" w:eastAsia="仿宋_GB2312"/>
          <w:color w:val="auto"/>
          <w:sz w:val="32"/>
          <w:szCs w:val="32"/>
          <w:lang w:val="en-US" w:eastAsia="zh-CN"/>
        </w:rPr>
        <w:t>3.1</w:t>
      </w:r>
      <w:r>
        <w:rPr>
          <w:rFonts w:eastAsia="仿宋_GB2312"/>
          <w:color w:val="auto"/>
          <w:sz w:val="32"/>
          <w:szCs w:val="32"/>
        </w:rPr>
        <w:t>%</w:t>
      </w:r>
      <w:r>
        <w:rPr>
          <w:rFonts w:eastAsia="仿宋_GB2312"/>
          <w:sz w:val="32"/>
          <w:szCs w:val="32"/>
        </w:rPr>
        <w:t>，</w:t>
      </w:r>
      <w:r>
        <w:rPr>
          <w:rFonts w:hint="eastAsia" w:eastAsia="仿宋_GB2312"/>
          <w:sz w:val="32"/>
          <w:szCs w:val="32"/>
          <w:lang w:eastAsia="zh-CN"/>
        </w:rPr>
        <w:t>高于</w:t>
      </w:r>
      <w:r>
        <w:rPr>
          <w:rFonts w:hint="eastAsia" w:eastAsia="仿宋_GB2312"/>
          <w:sz w:val="32"/>
          <w:szCs w:val="32"/>
          <w:lang w:val="en-US" w:eastAsia="zh-CN"/>
        </w:rPr>
        <w:t>90%的年度目标</w:t>
      </w:r>
      <w:r>
        <w:rPr>
          <w:rFonts w:eastAsia="仿宋_GB2312"/>
          <w:sz w:val="32"/>
          <w:szCs w:val="32"/>
        </w:rPr>
        <w:t>。</w:t>
      </w:r>
    </w:p>
    <w:p w14:paraId="423D0F34">
      <w:pPr>
        <w:spacing w:line="540" w:lineRule="exact"/>
        <w:ind w:firstLine="600" w:firstLineChars="200"/>
        <w:rPr>
          <w:rFonts w:eastAsia="仿宋_GB2312"/>
          <w:sz w:val="30"/>
          <w:szCs w:val="32"/>
        </w:rPr>
      </w:pPr>
      <w:r>
        <w:rPr>
          <w:rFonts w:eastAsia="黑体"/>
          <w:bCs/>
          <w:sz w:val="30"/>
          <w:szCs w:val="32"/>
        </w:rPr>
        <w:t>三、偏离绩效目标的原因和下一步改进措施</w:t>
      </w:r>
    </w:p>
    <w:p w14:paraId="6D0CB40E">
      <w:pPr>
        <w:spacing w:line="540" w:lineRule="exact"/>
        <w:ind w:firstLine="640" w:firstLineChars="200"/>
        <w:rPr>
          <w:rFonts w:eastAsia="仿宋_GB2312"/>
          <w:sz w:val="32"/>
          <w:szCs w:val="32"/>
        </w:rPr>
      </w:pPr>
      <w:r>
        <w:rPr>
          <w:rFonts w:eastAsia="仿宋_GB2312"/>
          <w:sz w:val="32"/>
          <w:szCs w:val="32"/>
        </w:rPr>
        <w:t>无。</w:t>
      </w:r>
    </w:p>
    <w:p w14:paraId="04E8CEB3">
      <w:pPr>
        <w:spacing w:line="540" w:lineRule="exact"/>
        <w:ind w:firstLine="600" w:firstLineChars="200"/>
        <w:rPr>
          <w:rFonts w:eastAsia="黑体"/>
          <w:bCs/>
          <w:sz w:val="30"/>
          <w:szCs w:val="32"/>
        </w:rPr>
      </w:pPr>
      <w:r>
        <w:rPr>
          <w:rFonts w:eastAsia="黑体"/>
          <w:bCs/>
          <w:sz w:val="30"/>
          <w:szCs w:val="32"/>
        </w:rPr>
        <w:t>四、绩效自评结果拟应用和公开情况</w:t>
      </w:r>
    </w:p>
    <w:p w14:paraId="33F4DBA3">
      <w:pPr>
        <w:spacing w:line="540" w:lineRule="exact"/>
        <w:ind w:firstLine="640" w:firstLineChars="200"/>
        <w:rPr>
          <w:rFonts w:eastAsia="黑体"/>
          <w:bCs/>
          <w:sz w:val="30"/>
          <w:szCs w:val="32"/>
        </w:rPr>
      </w:pPr>
      <w:r>
        <w:rPr>
          <w:rFonts w:eastAsia="仿宋_GB2312"/>
          <w:color w:val="000000"/>
          <w:sz w:val="32"/>
          <w:szCs w:val="32"/>
        </w:rPr>
        <w:t>本次绩效自评结果拟按照《天津市市对区转移支付资金预算绩效管理办法》（津财绩效〔2020〕17号）、《天津市农业农村相关转移支付资金绩效管理实施细则》（津财农〔2019〕134号）、《天津市农业农村委员会预算绩效管理暂行办法》（津农委计财〔2021〕108号）有关规定进行应用，向社会公开，自觉接受社会各界监督，从而在强化评价结果导向机制方面发挥更大作用，为改进资金项目管理以及完善相关政策提供重要依据。</w:t>
      </w:r>
    </w:p>
    <w:p w14:paraId="1A3815B2">
      <w:pPr>
        <w:spacing w:line="540" w:lineRule="exact"/>
        <w:ind w:firstLine="600" w:firstLineChars="200"/>
        <w:rPr>
          <w:rFonts w:eastAsia="黑体"/>
          <w:bCs/>
          <w:sz w:val="30"/>
          <w:szCs w:val="32"/>
        </w:rPr>
      </w:pPr>
      <w:r>
        <w:rPr>
          <w:rFonts w:eastAsia="黑体"/>
          <w:bCs/>
          <w:sz w:val="30"/>
          <w:szCs w:val="32"/>
        </w:rPr>
        <w:t>五、其他需要说明的问题</w:t>
      </w:r>
    </w:p>
    <w:p w14:paraId="1FB6C109">
      <w:pPr>
        <w:spacing w:line="540" w:lineRule="exact"/>
        <w:ind w:firstLine="640" w:firstLineChars="200"/>
        <w:rPr>
          <w:rFonts w:eastAsia="仿宋_GB2312"/>
          <w:sz w:val="32"/>
          <w:szCs w:val="32"/>
          <w:highlight w:val="yellow"/>
        </w:rPr>
      </w:pPr>
      <w:r>
        <w:rPr>
          <w:rFonts w:eastAsia="仿宋_GB2312"/>
          <w:sz w:val="32"/>
          <w:szCs w:val="32"/>
        </w:rPr>
        <w:t>无。</w:t>
      </w:r>
    </w:p>
    <w:p w14:paraId="30A7F0D3">
      <w:pPr>
        <w:spacing w:line="540" w:lineRule="exact"/>
        <w:ind w:firstLine="640" w:firstLineChars="200"/>
        <w:rPr>
          <w:rFonts w:eastAsia="仿宋_GB2312"/>
          <w:sz w:val="32"/>
          <w:szCs w:val="32"/>
          <w:highlight w:val="yellow"/>
        </w:rPr>
      </w:pPr>
    </w:p>
    <w:p w14:paraId="370902E5">
      <w:pPr>
        <w:spacing w:line="560" w:lineRule="exact"/>
        <w:ind w:firstLine="640" w:firstLineChars="200"/>
        <w:rPr>
          <w:rFonts w:eastAsia="仿宋_GB2312"/>
          <w:color w:val="000000"/>
          <w:sz w:val="32"/>
          <w:szCs w:val="32"/>
        </w:rPr>
      </w:pPr>
      <w:r>
        <w:rPr>
          <w:rFonts w:eastAsia="仿宋_GB2312"/>
          <w:color w:val="000000"/>
          <w:sz w:val="32"/>
          <w:szCs w:val="32"/>
        </w:rPr>
        <w:t>附</w:t>
      </w:r>
      <w:r>
        <w:rPr>
          <w:rFonts w:hint="eastAsia" w:eastAsia="仿宋_GB2312"/>
          <w:color w:val="000000"/>
          <w:sz w:val="32"/>
          <w:szCs w:val="32"/>
          <w:lang w:eastAsia="zh-CN"/>
        </w:rPr>
        <w:t>件</w:t>
      </w:r>
      <w:r>
        <w:rPr>
          <w:rFonts w:eastAsia="仿宋_GB2312"/>
          <w:color w:val="000000"/>
          <w:sz w:val="32"/>
          <w:szCs w:val="32"/>
        </w:rPr>
        <w:t>：</w:t>
      </w:r>
      <w:r>
        <w:rPr>
          <w:rFonts w:hint="eastAsia" w:eastAsia="仿宋_GB2312"/>
          <w:color w:val="000000"/>
          <w:sz w:val="32"/>
          <w:szCs w:val="32"/>
        </w:rPr>
        <w:t>天津市农业保险保费补贴区域绩效目标自评表</w:t>
      </w:r>
    </w:p>
    <w:p w14:paraId="5E553D0E"/>
    <w:p w14:paraId="150A2246">
      <w:pPr>
        <w:spacing w:line="560" w:lineRule="exact"/>
        <w:ind w:firstLine="640" w:firstLineChars="200"/>
        <w:rPr>
          <w:rFonts w:eastAsia="仿宋_GB2312"/>
          <w:color w:val="000000"/>
          <w:sz w:val="32"/>
          <w:szCs w:val="32"/>
        </w:rPr>
      </w:pPr>
    </w:p>
    <w:p w14:paraId="424D38A3">
      <w:pPr>
        <w:spacing w:line="560" w:lineRule="exact"/>
        <w:ind w:firstLine="640" w:firstLineChars="200"/>
        <w:rPr>
          <w:rFonts w:eastAsia="仿宋_GB2312"/>
          <w:color w:val="000000"/>
          <w:sz w:val="32"/>
          <w:szCs w:val="32"/>
        </w:rPr>
      </w:pPr>
    </w:p>
    <w:p w14:paraId="275D1428">
      <w:pPr>
        <w:rPr>
          <w:rFonts w:hint="eastAsia" w:eastAsia="黑体"/>
          <w:color w:val="000000"/>
          <w:sz w:val="32"/>
          <w:szCs w:val="32"/>
          <w:lang w:val="en-US" w:eastAsia="zh-CN"/>
        </w:rPr>
      </w:pPr>
      <w:r>
        <w:rPr>
          <w:rFonts w:eastAsia="黑体"/>
          <w:color w:val="000000"/>
          <w:sz w:val="32"/>
          <w:szCs w:val="32"/>
        </w:rPr>
        <w:t>附件</w:t>
      </w:r>
      <w:r>
        <w:rPr>
          <w:rFonts w:hint="eastAsia" w:eastAsia="黑体"/>
          <w:color w:val="000000"/>
          <w:sz w:val="32"/>
          <w:szCs w:val="32"/>
          <w:lang w:val="en-US" w:eastAsia="zh-CN"/>
        </w:rPr>
        <w:t>8</w:t>
      </w:r>
    </w:p>
    <w:p w14:paraId="3DEDE45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eastAsia="方正小标宋简体"/>
          <w:sz w:val="40"/>
          <w:szCs w:val="40"/>
        </w:rPr>
      </w:pPr>
    </w:p>
    <w:p w14:paraId="4036CE5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eastAsia="方正小标宋简体"/>
          <w:sz w:val="40"/>
          <w:szCs w:val="40"/>
        </w:rPr>
      </w:pPr>
      <w:r>
        <w:rPr>
          <w:rFonts w:hint="eastAsia" w:ascii="方正小标宋简体" w:eastAsia="方正小标宋简体"/>
          <w:sz w:val="40"/>
          <w:szCs w:val="40"/>
        </w:rPr>
        <w:t>天津市土地指标跨省域调剂收入安排的支出（支持农村厕所革命整村推进财政奖补）转移支付</w:t>
      </w:r>
    </w:p>
    <w:p w14:paraId="4AA9B00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eastAsia="方正小标宋简体"/>
          <w:sz w:val="40"/>
          <w:szCs w:val="40"/>
        </w:rPr>
      </w:pPr>
      <w:r>
        <w:rPr>
          <w:rFonts w:hint="eastAsia" w:ascii="方正小标宋简体" w:eastAsia="方正小标宋简体"/>
          <w:sz w:val="40"/>
          <w:szCs w:val="40"/>
        </w:rPr>
        <w:t>2022年度绩效自评报告</w:t>
      </w:r>
    </w:p>
    <w:p w14:paraId="1E643B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p>
    <w:p w14:paraId="79B040D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bCs/>
          <w:sz w:val="32"/>
          <w:szCs w:val="32"/>
        </w:rPr>
      </w:pPr>
      <w:r>
        <w:rPr>
          <w:rFonts w:hint="eastAsia" w:ascii="黑体" w:hAnsi="黑体" w:eastAsia="黑体"/>
          <w:bCs/>
          <w:sz w:val="32"/>
          <w:szCs w:val="32"/>
        </w:rPr>
        <w:t>一、绩效目标分解下达情况</w:t>
      </w:r>
    </w:p>
    <w:p w14:paraId="4BDDFF3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楷体_GB2312" w:eastAsia="楷体_GB2312"/>
          <w:sz w:val="32"/>
          <w:szCs w:val="32"/>
        </w:rPr>
        <w:t>（一）中央下达预算和绩效目标情况。</w:t>
      </w:r>
      <w:r>
        <w:rPr>
          <w:rFonts w:hint="eastAsia" w:ascii="仿宋_GB2312" w:eastAsia="仿宋_GB2312"/>
          <w:sz w:val="32"/>
          <w:szCs w:val="32"/>
        </w:rPr>
        <w:t>2022年，中央财政下达我市土地指标跨省域调剂收入安排的支出（支持农村厕所革命整村推进财政奖补）预算总额14343万元，下达三个绩效目标</w:t>
      </w:r>
      <w:r>
        <w:rPr>
          <w:rFonts w:hint="eastAsia" w:ascii="仿宋_GB2312" w:eastAsia="仿宋_GB2312"/>
          <w:sz w:val="32"/>
          <w:szCs w:val="32"/>
          <w:lang w:eastAsia="zh-CN"/>
        </w:rPr>
        <w:t>，</w:t>
      </w:r>
      <w:r>
        <w:rPr>
          <w:rFonts w:hint="eastAsia" w:ascii="仿宋_GB2312" w:eastAsia="仿宋_GB2312"/>
          <w:sz w:val="32"/>
          <w:szCs w:val="32"/>
        </w:rPr>
        <w:t>一是完成本地区农村厕所革命整村推进年度工作计划，基本实现卫生厕所全覆盖；二是持续系统解决农村厕所问题；三是推动建立长效管护机制。</w:t>
      </w:r>
    </w:p>
    <w:p w14:paraId="23B14CA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楷体_GB2312" w:eastAsia="楷体_GB2312"/>
          <w:sz w:val="32"/>
          <w:szCs w:val="32"/>
        </w:rPr>
        <w:t>（二）</w:t>
      </w:r>
      <w:r>
        <w:rPr>
          <w:rFonts w:hint="eastAsia" w:ascii="楷体_GB2312" w:eastAsia="楷体_GB2312"/>
          <w:sz w:val="32"/>
          <w:szCs w:val="32"/>
          <w:lang w:val="en-US" w:eastAsia="zh-CN"/>
        </w:rPr>
        <w:t xml:space="preserve"> </w:t>
      </w:r>
      <w:r>
        <w:rPr>
          <w:rFonts w:hint="eastAsia" w:ascii="楷体_GB2312" w:eastAsia="楷体_GB2312"/>
          <w:color w:val="000000"/>
          <w:sz w:val="32"/>
          <w:szCs w:val="32"/>
        </w:rPr>
        <w:t>我市分解下达预算和绩效目标情况。</w:t>
      </w:r>
      <w:r>
        <w:rPr>
          <w:rFonts w:hint="eastAsia" w:ascii="仿宋_GB2312" w:eastAsia="仿宋_GB2312"/>
          <w:sz w:val="32"/>
          <w:szCs w:val="32"/>
        </w:rPr>
        <w:t>按照</w:t>
      </w:r>
      <w:r>
        <w:rPr>
          <w:rFonts w:hint="eastAsia" w:ascii="仿宋_GB2312" w:eastAsia="仿宋_GB2312"/>
          <w:color w:val="000000"/>
          <w:sz w:val="32"/>
          <w:szCs w:val="32"/>
        </w:rPr>
        <w:t>《财政部关于提前下达2022年土地指标跨省域调剂收入安排的支出预算的通知》（财预〔2021〕156号）</w:t>
      </w:r>
      <w:r>
        <w:rPr>
          <w:rFonts w:hint="eastAsia" w:ascii="仿宋_GB2312" w:eastAsia="仿宋_GB2312"/>
          <w:sz w:val="32"/>
          <w:szCs w:val="32"/>
        </w:rPr>
        <w:t>、</w:t>
      </w:r>
      <w:r>
        <w:rPr>
          <w:rFonts w:hint="eastAsia" w:ascii="仿宋_GB2312" w:eastAsia="仿宋_GB2312"/>
          <w:color w:val="000000"/>
          <w:sz w:val="32"/>
          <w:szCs w:val="32"/>
        </w:rPr>
        <w:t>《财政部关于下达2022年土地指标跨省域调剂收入安排的支出预算的通知》（财农〔2022〕48号）要求，结合我市实际，2021年11月和2022年7月，我们分别通过《天津市财政局关于提前下达中央财政和市财政2022年农业农村转移支付预算指标的通知》（津财农指〔2021〕47号）、《天津市财政局关于下达2022年中央财政农村综合改革转移支付等预算资金的通知》（津财农指〔2022〕21号），及时将中央财政资金和绩效目标等同步分解下达</w:t>
      </w:r>
      <w:r>
        <w:rPr>
          <w:rFonts w:hint="eastAsia" w:ascii="仿宋_GB2312" w:eastAsia="仿宋_GB2312"/>
          <w:color w:val="000000"/>
          <w:sz w:val="32"/>
          <w:szCs w:val="32"/>
          <w:lang w:eastAsia="zh-CN"/>
        </w:rPr>
        <w:t>，</w:t>
      </w:r>
      <w:r>
        <w:rPr>
          <w:rFonts w:hint="eastAsia" w:ascii="仿宋_GB2312" w:eastAsia="仿宋_GB2312"/>
          <w:color w:val="000000"/>
          <w:sz w:val="32"/>
          <w:szCs w:val="32"/>
        </w:rPr>
        <w:t>其中：</w:t>
      </w:r>
      <w:r>
        <w:rPr>
          <w:rFonts w:hint="eastAsia" w:ascii="仿宋_GB2312" w:eastAsia="仿宋_GB2312"/>
          <w:sz w:val="32"/>
          <w:szCs w:val="32"/>
        </w:rPr>
        <w:t>蓟州区2212.1万元、宝坻区4004.8万元、武清区6561.8万元、宁河区1260.9万元、静海区303.4万元。</w:t>
      </w:r>
    </w:p>
    <w:p w14:paraId="0BA6815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bCs/>
          <w:sz w:val="32"/>
          <w:szCs w:val="32"/>
        </w:rPr>
      </w:pPr>
      <w:r>
        <w:rPr>
          <w:rFonts w:hint="eastAsia" w:ascii="黑体" w:hAnsi="黑体" w:eastAsia="黑体"/>
          <w:bCs/>
          <w:sz w:val="32"/>
          <w:szCs w:val="32"/>
        </w:rPr>
        <w:t>二、绩效情况分析</w:t>
      </w:r>
    </w:p>
    <w:p w14:paraId="2B32D4F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eastAsia="仿宋_GB2312"/>
          <w:sz w:val="32"/>
          <w:szCs w:val="32"/>
        </w:rPr>
      </w:pPr>
      <w:r>
        <w:rPr>
          <w:rFonts w:hint="eastAsia" w:ascii="楷体_GB2312" w:eastAsia="楷体_GB2312"/>
          <w:bCs/>
          <w:sz w:val="32"/>
          <w:szCs w:val="32"/>
        </w:rPr>
        <w:t>（一）资金投入情况分析。</w:t>
      </w:r>
      <w:r>
        <w:rPr>
          <w:rFonts w:hint="eastAsia" w:ascii="仿宋_GB2312" w:eastAsia="仿宋_GB2312"/>
          <w:sz w:val="32"/>
          <w:szCs w:val="32"/>
        </w:rPr>
        <w:t>1.项目资金到位情况分析。</w:t>
      </w:r>
      <w:r>
        <w:rPr>
          <w:rFonts w:hint="eastAsia" w:ascii="仿宋_GB2312" w:eastAsia="仿宋_GB2312"/>
          <w:color w:val="000000"/>
          <w:sz w:val="32"/>
          <w:szCs w:val="32"/>
        </w:rPr>
        <w:t>2021年11月和2022年7月，我市印发了《天津市财政局关于提前下达中央财政和市财政2022年农业农村转移支付预算指标的通知》（津财农指〔2021〕47号）、《天津市财政局关于下达2022年中央财政农村综合改革转移支付等预算资金的通知》（津财农指〔2022〕21号）</w:t>
      </w:r>
      <w:r>
        <w:rPr>
          <w:rFonts w:hint="eastAsia" w:ascii="仿宋_GB2312" w:eastAsia="仿宋_GB2312"/>
          <w:sz w:val="32"/>
          <w:szCs w:val="32"/>
        </w:rPr>
        <w:t>，将中央财政2022年度预算资金14343万元下达至各相关区。此外，2022年7月，我市印发了《天津市财政局关于下达2022年农村社会发展等资金预算的通知》（津财农指〔2022〕26号），将市级资金4900万元预算下达至各相关区。</w:t>
      </w:r>
    </w:p>
    <w:p w14:paraId="15C8E6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eastAsia="仿宋_GB2312"/>
          <w:sz w:val="32"/>
          <w:szCs w:val="32"/>
          <w:lang w:eastAsia="zh-CN"/>
        </w:rPr>
      </w:pPr>
      <w:r>
        <w:rPr>
          <w:rFonts w:hint="eastAsia" w:ascii="仿宋_GB2312" w:eastAsia="仿宋_GB2312"/>
          <w:sz w:val="32"/>
          <w:szCs w:val="32"/>
        </w:rPr>
        <w:t>2.项目资金执行情况分析。年度资金总额19243万元，已执行8259.8万元，执行率42.92%。其中：中央财政资金14343万元、已执行4454.8004万元、执行率31.06%</w:t>
      </w:r>
      <w:r>
        <w:rPr>
          <w:rFonts w:hint="eastAsia" w:ascii="仿宋_GB2312" w:eastAsia="仿宋_GB2312"/>
          <w:sz w:val="32"/>
          <w:szCs w:val="32"/>
          <w:lang w:eastAsia="zh-CN"/>
        </w:rPr>
        <w:t>；</w:t>
      </w:r>
      <w:r>
        <w:rPr>
          <w:rFonts w:hint="eastAsia" w:ascii="仿宋_GB2312" w:eastAsia="仿宋_GB2312"/>
          <w:sz w:val="32"/>
          <w:szCs w:val="32"/>
        </w:rPr>
        <w:t>地方资金4900万元、已执行3805万元、执行率77.65%。</w:t>
      </w:r>
      <w:r>
        <w:rPr>
          <w:rFonts w:hint="eastAsia" w:ascii="仿宋_GB2312" w:eastAsia="仿宋_GB2312"/>
          <w:sz w:val="32"/>
          <w:szCs w:val="32"/>
          <w:lang w:eastAsia="zh-CN"/>
        </w:rPr>
        <w:t>（</w:t>
      </w:r>
      <w:r>
        <w:rPr>
          <w:rFonts w:hint="eastAsia" w:ascii="仿宋_GB2312" w:eastAsia="仿宋_GB2312"/>
          <w:sz w:val="32"/>
          <w:szCs w:val="32"/>
        </w:rPr>
        <w:t>涉及奖补的各</w:t>
      </w:r>
      <w:r>
        <w:rPr>
          <w:rFonts w:hint="eastAsia" w:ascii="仿宋_GB2312" w:eastAsia="仿宋_GB2312"/>
          <w:sz w:val="32"/>
          <w:szCs w:val="32"/>
          <w:lang w:eastAsia="zh-CN"/>
        </w:rPr>
        <w:t>涉农</w:t>
      </w:r>
      <w:r>
        <w:rPr>
          <w:rFonts w:hint="eastAsia" w:ascii="仿宋_GB2312" w:eastAsia="仿宋_GB2312"/>
          <w:sz w:val="32"/>
          <w:szCs w:val="32"/>
        </w:rPr>
        <w:t>区均按时完成年度计划，但因疫情原因导致有的区存在区级验收延迟的情况，目前相关区已加紧开展验收工作，按“整村推进、先验后补”的原则，奖补资金待区级验收完成后，立即向区财政申请执行</w:t>
      </w:r>
      <w:r>
        <w:rPr>
          <w:rFonts w:hint="eastAsia" w:ascii="仿宋_GB2312" w:eastAsia="仿宋_GB2312"/>
          <w:sz w:val="32"/>
          <w:szCs w:val="32"/>
          <w:lang w:eastAsia="zh-CN"/>
        </w:rPr>
        <w:t>。）</w:t>
      </w:r>
    </w:p>
    <w:p w14:paraId="2C72B03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eastAsia="仿宋_GB2312"/>
          <w:sz w:val="32"/>
          <w:szCs w:val="32"/>
        </w:rPr>
      </w:pPr>
      <w:r>
        <w:rPr>
          <w:rFonts w:hint="eastAsia" w:ascii="楷体_GB2312" w:eastAsia="楷体_GB2312"/>
          <w:sz w:val="32"/>
          <w:szCs w:val="32"/>
        </w:rPr>
        <w:t>（二）项目资金管理情况分析。</w:t>
      </w:r>
      <w:r>
        <w:rPr>
          <w:rFonts w:hint="eastAsia" w:ascii="仿宋_GB2312" w:eastAsia="仿宋_GB2312"/>
          <w:sz w:val="32"/>
          <w:szCs w:val="32"/>
        </w:rPr>
        <w:t>为全面落实管理要求，近年来，我市先后印发《2019年农村“厕所革命”整村推进财政奖补工作方案》（津财农</w:t>
      </w:r>
      <w:r>
        <w:rPr>
          <w:rFonts w:hint="eastAsia" w:ascii="仿宋_GB2312" w:eastAsia="仿宋_GB2312"/>
          <w:color w:val="000000"/>
          <w:sz w:val="32"/>
          <w:szCs w:val="32"/>
        </w:rPr>
        <w:t>〔2019〕126号</w:t>
      </w:r>
      <w:r>
        <w:rPr>
          <w:rFonts w:hint="eastAsia" w:ascii="仿宋_GB2312" w:eastAsia="仿宋_GB2312"/>
          <w:sz w:val="32"/>
          <w:szCs w:val="32"/>
        </w:rPr>
        <w:t>）、《天津市农村社会发展资金管理办法》（津财农</w:t>
      </w:r>
      <w:r>
        <w:rPr>
          <w:rFonts w:hint="eastAsia" w:ascii="仿宋_GB2312" w:eastAsia="仿宋_GB2312"/>
          <w:color w:val="000000"/>
          <w:sz w:val="32"/>
          <w:szCs w:val="32"/>
        </w:rPr>
        <w:t>〔2020〕8号</w:t>
      </w:r>
      <w:r>
        <w:rPr>
          <w:rFonts w:hint="eastAsia" w:ascii="仿宋_GB2312" w:eastAsia="仿宋_GB2312"/>
          <w:sz w:val="32"/>
          <w:szCs w:val="32"/>
        </w:rPr>
        <w:t>）、《市农业农村委 市卫健委 市财政局关于进一步做好农村“厕所革命”工作的函》（津农委函〔2020〕3号）等文件，进一步明确农村“厕所革命”支出方向的支持范围、分配下达程序、使用管理，以及验收、监督检查和绩效评价等内容。强化资金监管，重点关注项目资金拨付、项目进展、项目资金使用效益等情况，及时督促厕所革命项目规范化建设，保障资金规范安全使用，提高资金使用效益，使厕所革命专项资金真正做到改善民生，为民服务。</w:t>
      </w:r>
    </w:p>
    <w:p w14:paraId="5B7E208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楷体_GB2312" w:eastAsia="楷体_GB2312"/>
          <w:bCs/>
          <w:sz w:val="32"/>
          <w:szCs w:val="32"/>
        </w:rPr>
        <w:t>（三）总体绩效目标完成情况分析。</w:t>
      </w:r>
      <w:r>
        <w:rPr>
          <w:rFonts w:hint="eastAsia" w:ascii="仿宋_GB2312" w:eastAsia="仿宋_GB2312"/>
          <w:sz w:val="32"/>
          <w:szCs w:val="32"/>
        </w:rPr>
        <w:t>一是持续推动农村卫生厕所改造提升。</w:t>
      </w:r>
      <w:r>
        <w:rPr>
          <w:rFonts w:hint="default" w:ascii="Times New Roman" w:hAnsi="Times New Roman" w:eastAsia="仿宋_GB2312" w:cs="Times New Roman"/>
          <w:bCs/>
          <w:sz w:val="32"/>
          <w:szCs w:val="32"/>
        </w:rPr>
        <w:t>围</w:t>
      </w:r>
      <w:r>
        <w:rPr>
          <w:rFonts w:hint="eastAsia" w:ascii="仿宋_GB2312" w:hAnsi="仿宋_GB2312" w:eastAsia="仿宋_GB2312" w:cs="仿宋_GB2312"/>
          <w:bCs/>
          <w:sz w:val="32"/>
          <w:szCs w:val="32"/>
        </w:rPr>
        <w:t>绕“十四五”末</w:t>
      </w:r>
      <w:r>
        <w:rPr>
          <w:rFonts w:hint="default" w:ascii="Times New Roman" w:hAnsi="Times New Roman" w:eastAsia="仿宋_GB2312" w:cs="Times New Roman"/>
          <w:bCs/>
          <w:sz w:val="32"/>
          <w:szCs w:val="32"/>
        </w:rPr>
        <w:t>我市农村卫生厕所全面普及的目标，组织各涉农区进行了充分摸排调研，明</w:t>
      </w:r>
      <w:r>
        <w:rPr>
          <w:rFonts w:hint="eastAsia" w:ascii="仿宋_GB2312" w:hAnsi="仿宋_GB2312" w:eastAsia="仿宋_GB2312" w:cs="仿宋_GB2312"/>
          <w:bCs/>
          <w:sz w:val="32"/>
          <w:szCs w:val="32"/>
        </w:rPr>
        <w:t>确了</w:t>
      </w:r>
      <w:r>
        <w:rPr>
          <w:rFonts w:hint="eastAsia" w:ascii="仿宋_GB2312" w:hAnsi="仿宋_GB2312" w:eastAsia="仿宋_GB2312" w:cs="仿宋_GB2312"/>
          <w:sz w:val="32"/>
          <w:szCs w:val="32"/>
        </w:rPr>
        <w:t>“十四五”</w:t>
      </w:r>
      <w:r>
        <w:rPr>
          <w:rFonts w:hint="default" w:ascii="Times New Roman" w:hAnsi="Times New Roman" w:eastAsia="仿宋_GB2312" w:cs="Times New Roman"/>
          <w:sz w:val="32"/>
          <w:szCs w:val="32"/>
        </w:rPr>
        <w:t>时期我市农村厕所革命工作总体任务和分年度任务</w:t>
      </w:r>
      <w:r>
        <w:rPr>
          <w:rFonts w:hint="eastAsia" w:ascii="Times New Roman" w:hAnsi="Times New Roman" w:eastAsia="仿宋_GB2312" w:cs="Times New Roman"/>
          <w:sz w:val="32"/>
          <w:szCs w:val="32"/>
          <w:lang w:eastAsia="zh-CN"/>
        </w:rPr>
        <w:t>，推动</w:t>
      </w:r>
      <w:r>
        <w:rPr>
          <w:rFonts w:hint="eastAsia" w:ascii="仿宋_GB2312" w:eastAsia="仿宋_GB2312"/>
          <w:sz w:val="32"/>
          <w:szCs w:val="32"/>
          <w:lang w:eastAsia="zh-CN"/>
        </w:rPr>
        <w:t>相关涉农区</w:t>
      </w:r>
      <w:r>
        <w:rPr>
          <w:rFonts w:hint="eastAsia" w:ascii="仿宋_GB2312" w:eastAsia="仿宋_GB2312"/>
          <w:sz w:val="32"/>
          <w:szCs w:val="32"/>
        </w:rPr>
        <w:t>有序</w:t>
      </w:r>
      <w:r>
        <w:rPr>
          <w:rFonts w:hint="eastAsia" w:ascii="仿宋_GB2312" w:eastAsia="仿宋_GB2312"/>
          <w:sz w:val="32"/>
          <w:szCs w:val="32"/>
          <w:lang w:eastAsia="zh-CN"/>
        </w:rPr>
        <w:t>组织</w:t>
      </w:r>
      <w:r>
        <w:rPr>
          <w:rFonts w:hint="eastAsia" w:ascii="仿宋_GB2312" w:eastAsia="仿宋_GB2312"/>
          <w:sz w:val="32"/>
          <w:szCs w:val="32"/>
        </w:rPr>
        <w:t>实施。</w:t>
      </w:r>
      <w:r>
        <w:rPr>
          <w:rFonts w:ascii="Times New Roman" w:hAnsi="Times New Roman" w:eastAsia="仿宋_GB2312" w:cs="Times New Roman"/>
          <w:sz w:val="32"/>
          <w:szCs w:val="32"/>
        </w:rPr>
        <w:t>2022年</w:t>
      </w:r>
      <w:r>
        <w:rPr>
          <w:rFonts w:hint="eastAsia" w:eastAsia="仿宋_GB2312" w:cs="Times New Roman"/>
          <w:sz w:val="32"/>
          <w:szCs w:val="32"/>
          <w:lang w:eastAsia="zh-CN"/>
        </w:rPr>
        <w:t>，</w:t>
      </w:r>
      <w:r>
        <w:rPr>
          <w:rFonts w:ascii="Times New Roman" w:hAnsi="Times New Roman" w:eastAsia="仿宋_GB2312" w:cs="Times New Roman"/>
          <w:sz w:val="32"/>
          <w:szCs w:val="32"/>
        </w:rPr>
        <w:t>完成农村户厕改造提升3.1万座</w:t>
      </w:r>
      <w:r>
        <w:rPr>
          <w:rFonts w:hint="eastAsia" w:eastAsia="仿宋_GB2312" w:cs="Times New Roman"/>
          <w:sz w:val="32"/>
          <w:szCs w:val="32"/>
          <w:lang w:eastAsia="zh-CN"/>
        </w:rPr>
        <w:t>。</w:t>
      </w:r>
      <w:r>
        <w:rPr>
          <w:rFonts w:hint="eastAsia" w:ascii="仿宋_GB2312" w:eastAsia="仿宋_GB2312"/>
          <w:sz w:val="32"/>
          <w:szCs w:val="32"/>
        </w:rPr>
        <w:t>二是高质量推动农村厕所问题摸排整改工作。按照农业农村部和国家乡村振兴局统一部署，组织全市农村开展了一次系统的</w:t>
      </w:r>
      <w:r>
        <w:rPr>
          <w:rFonts w:hint="eastAsia" w:ascii="仿宋_GB2312" w:eastAsia="仿宋_GB2312"/>
          <w:sz w:val="32"/>
          <w:szCs w:val="32"/>
          <w:lang w:eastAsia="zh-CN"/>
        </w:rPr>
        <w:t>农村</w:t>
      </w:r>
      <w:r>
        <w:rPr>
          <w:rFonts w:hint="eastAsia" w:ascii="仿宋_GB2312" w:eastAsia="仿宋_GB2312"/>
          <w:sz w:val="32"/>
          <w:szCs w:val="32"/>
        </w:rPr>
        <w:t>厕所问题摸排，</w:t>
      </w:r>
      <w:r>
        <w:rPr>
          <w:rFonts w:ascii="Times New Roman" w:hAnsi="Times New Roman" w:eastAsia="仿宋_GB2312" w:cs="Times New Roman"/>
          <w:sz w:val="32"/>
          <w:szCs w:val="32"/>
        </w:rPr>
        <w:t>共摸排户厕71.03万座、公厕5735座，共发现问题户厕4458座、问题公厕815座，目前已全部完成整改。</w:t>
      </w:r>
      <w:r>
        <w:rPr>
          <w:rFonts w:hint="eastAsia" w:ascii="仿宋_GB2312" w:eastAsia="仿宋_GB2312"/>
          <w:sz w:val="32"/>
          <w:szCs w:val="32"/>
        </w:rPr>
        <w:t>三是优化健全农村厕所问题发现</w:t>
      </w:r>
      <w:r>
        <w:rPr>
          <w:rFonts w:hint="eastAsia" w:ascii="仿宋_GB2312" w:eastAsia="仿宋_GB2312"/>
          <w:sz w:val="32"/>
          <w:szCs w:val="32"/>
          <w:lang w:eastAsia="zh-CN"/>
        </w:rPr>
        <w:t>处置</w:t>
      </w:r>
      <w:r>
        <w:rPr>
          <w:rFonts w:hint="eastAsia" w:ascii="仿宋_GB2312" w:eastAsia="仿宋_GB2312"/>
          <w:sz w:val="32"/>
          <w:szCs w:val="32"/>
        </w:rPr>
        <w:t>机制。借助农村改厕服务平台、乡镇（街道）公布的举报电话、暗访</w:t>
      </w:r>
      <w:r>
        <w:rPr>
          <w:rFonts w:hint="eastAsia" w:ascii="仿宋_GB2312" w:eastAsia="仿宋_GB2312"/>
          <w:sz w:val="32"/>
          <w:szCs w:val="32"/>
          <w:lang w:eastAsia="zh-CN"/>
        </w:rPr>
        <w:t>调研</w:t>
      </w:r>
      <w:r>
        <w:rPr>
          <w:rFonts w:hint="eastAsia" w:ascii="仿宋_GB2312" w:eastAsia="仿宋_GB2312"/>
          <w:sz w:val="32"/>
          <w:szCs w:val="32"/>
        </w:rPr>
        <w:t>等渠道，</w:t>
      </w:r>
      <w:r>
        <w:rPr>
          <w:rFonts w:ascii="Times New Roman" w:hAnsi="Times New Roman" w:eastAsia="仿宋_GB2312" w:cs="Times New Roman"/>
          <w:sz w:val="32"/>
          <w:szCs w:val="32"/>
        </w:rPr>
        <w:t>及时发现问题、解决问题，提高群众满意度。2022年，通过市便民专线服务中心转来群众反映农村改厕问题共计3300余件，已全部办结。</w:t>
      </w:r>
      <w:r>
        <w:rPr>
          <w:rFonts w:hint="eastAsia" w:ascii="仿宋_GB2312" w:eastAsia="仿宋_GB2312"/>
          <w:sz w:val="32"/>
          <w:szCs w:val="32"/>
        </w:rPr>
        <w:t>四是建立健全以农村厕所革命服务站为主要载体的长效管护服务体系。印发了《关于农村厕所革命服务站建设与管理的指导意见》，各涉农区</w:t>
      </w:r>
      <w:r>
        <w:rPr>
          <w:rFonts w:hint="eastAsia" w:ascii="仿宋_GB2312" w:eastAsia="仿宋_GB2312"/>
          <w:sz w:val="32"/>
          <w:szCs w:val="32"/>
          <w:lang w:eastAsia="zh-CN"/>
        </w:rPr>
        <w:t>均建成</w:t>
      </w:r>
      <w:r>
        <w:rPr>
          <w:rFonts w:hint="eastAsia" w:ascii="仿宋_GB2312" w:eastAsia="仿宋_GB2312"/>
          <w:sz w:val="32"/>
          <w:szCs w:val="32"/>
          <w:lang w:val="en-US" w:eastAsia="zh-CN"/>
        </w:rPr>
        <w:t>1个</w:t>
      </w:r>
      <w:r>
        <w:rPr>
          <w:rFonts w:hint="eastAsia" w:ascii="仿宋_GB2312" w:eastAsia="仿宋_GB2312"/>
          <w:sz w:val="32"/>
          <w:szCs w:val="32"/>
        </w:rPr>
        <w:t>整镇域</w:t>
      </w:r>
      <w:r>
        <w:rPr>
          <w:rFonts w:hint="eastAsia" w:ascii="仿宋_GB2312" w:eastAsia="仿宋_GB2312"/>
          <w:sz w:val="32"/>
          <w:szCs w:val="32"/>
          <w:lang w:eastAsia="zh-CN"/>
        </w:rPr>
        <w:t>农村</w:t>
      </w:r>
      <w:r>
        <w:rPr>
          <w:rFonts w:hint="eastAsia" w:ascii="仿宋_GB2312" w:eastAsia="仿宋_GB2312"/>
          <w:sz w:val="32"/>
          <w:szCs w:val="32"/>
        </w:rPr>
        <w:t>厕所革命服务站试点，总结试点经验，逐步推广铺开。</w:t>
      </w:r>
    </w:p>
    <w:p w14:paraId="0103AB4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eastAsia="仿宋_GB2312"/>
          <w:color w:val="000000"/>
          <w:sz w:val="32"/>
          <w:szCs w:val="32"/>
        </w:rPr>
      </w:pPr>
      <w:r>
        <w:rPr>
          <w:rFonts w:hint="eastAsia" w:ascii="楷体_GB2312" w:eastAsia="楷体_GB2312"/>
          <w:bCs/>
          <w:sz w:val="32"/>
          <w:szCs w:val="32"/>
        </w:rPr>
        <w:t>（四）绩效指标完成情况分析。</w:t>
      </w:r>
      <w:r>
        <w:rPr>
          <w:rFonts w:hint="eastAsia" w:ascii="仿宋_GB2312" w:eastAsia="仿宋_GB2312"/>
          <w:color w:val="000000"/>
          <w:sz w:val="32"/>
          <w:szCs w:val="32"/>
        </w:rPr>
        <w:t>全年共分解下达绩效指标16个，完成14个，未完成2个。</w:t>
      </w:r>
    </w:p>
    <w:p w14:paraId="7C3794F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eastAsia="仿宋_GB2312"/>
          <w:sz w:val="32"/>
          <w:szCs w:val="32"/>
        </w:rPr>
      </w:pPr>
      <w:r>
        <w:rPr>
          <w:rFonts w:hint="eastAsia" w:ascii="仿宋_GB2312" w:eastAsia="仿宋_GB2312"/>
          <w:sz w:val="32"/>
          <w:szCs w:val="32"/>
        </w:rPr>
        <w:t>1.产出指标11个，完成9个，</w:t>
      </w:r>
      <w:r>
        <w:rPr>
          <w:rFonts w:hint="eastAsia" w:ascii="仿宋_GB2312" w:eastAsia="仿宋_GB2312"/>
          <w:color w:val="000000"/>
          <w:sz w:val="32"/>
          <w:szCs w:val="32"/>
        </w:rPr>
        <w:t>未完成2个</w:t>
      </w:r>
      <w:r>
        <w:rPr>
          <w:rFonts w:hint="eastAsia" w:ascii="仿宋_GB2312" w:eastAsia="仿宋_GB2312"/>
          <w:sz w:val="32"/>
          <w:szCs w:val="32"/>
        </w:rPr>
        <w:t>。</w:t>
      </w:r>
    </w:p>
    <w:p w14:paraId="69DA101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eastAsia="仿宋_GB2312"/>
          <w:sz w:val="32"/>
          <w:szCs w:val="32"/>
        </w:rPr>
      </w:pPr>
      <w:r>
        <w:rPr>
          <w:rFonts w:hint="eastAsia" w:ascii="仿宋_GB2312" w:eastAsia="仿宋_GB2312"/>
          <w:sz w:val="32"/>
          <w:szCs w:val="32"/>
        </w:rPr>
        <w:t>（1）数量指标6个，</w:t>
      </w:r>
      <w:r>
        <w:rPr>
          <w:rFonts w:hint="eastAsia" w:ascii="仿宋_GB2312" w:eastAsia="仿宋_GB2312"/>
          <w:color w:val="000000"/>
          <w:sz w:val="32"/>
          <w:szCs w:val="32"/>
        </w:rPr>
        <w:t>全部完成</w:t>
      </w:r>
      <w:r>
        <w:rPr>
          <w:rFonts w:hint="eastAsia" w:ascii="仿宋_GB2312" w:eastAsia="仿宋_GB2312"/>
          <w:sz w:val="32"/>
          <w:szCs w:val="32"/>
        </w:rPr>
        <w:t>。一是以前年度完成改厕农户户数≥501677户，实际完成527213户。二是以前年度完成整村推进的行政村数≥2701个，实际完成2796个。三是2021年完成改厕农户户数≥72200户，实际完成89150户。四是2021年完成整村推进的行政村数≥2200个，实际完成2510个。五是2022年完成改厕农户户数≥28900户，实际完成29142户。六是2022年完成整村推进的行政村数≥2170个，实际完成2170个。</w:t>
      </w:r>
    </w:p>
    <w:p w14:paraId="6F8D0E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（2）质量指标2个，全部完成。一是改造完的厕所设施合格率达到95%。根据《天津市农村厕所改造工作实施方案（2019</w:t>
      </w:r>
      <w:r>
        <w:rPr>
          <w:rFonts w:hint="eastAsia" w:ascii="仿宋_GB2312" w:hAnsi="微软雅黑" w:eastAsia="微软雅黑" w:cs="微软雅黑"/>
          <w:color w:val="000000"/>
          <w:sz w:val="32"/>
          <w:szCs w:val="32"/>
        </w:rPr>
        <w:t>–</w:t>
      </w:r>
      <w:r>
        <w:rPr>
          <w:rFonts w:hint="eastAsia" w:ascii="仿宋_GB2312" w:eastAsia="仿宋_GB2312"/>
          <w:color w:val="000000"/>
          <w:sz w:val="32"/>
          <w:szCs w:val="32"/>
        </w:rPr>
        <w:t>2020年）》、《天津市农村厕所改造建设技术导则》、《天津市农村厕所改造项目管理及考核验收办法》（津人居环境整治办〔2019〕17号）及质量管控文件要求，2022年，我市对</w:t>
      </w:r>
      <w:r>
        <w:rPr>
          <w:rFonts w:hint="eastAsia" w:ascii="仿宋_GB2312" w:eastAsia="仿宋_GB2312"/>
          <w:color w:val="000000"/>
          <w:sz w:val="32"/>
          <w:szCs w:val="32"/>
          <w:lang w:eastAsia="zh-CN"/>
        </w:rPr>
        <w:t>农村</w:t>
      </w:r>
      <w:r>
        <w:rPr>
          <w:rFonts w:hint="eastAsia" w:ascii="仿宋_GB2312" w:eastAsia="仿宋_GB2312"/>
          <w:color w:val="000000"/>
          <w:sz w:val="32"/>
          <w:szCs w:val="32"/>
        </w:rPr>
        <w:t>厕所革命工作</w:t>
      </w:r>
      <w:r>
        <w:rPr>
          <w:rFonts w:hint="eastAsia" w:ascii="仿宋_GB2312" w:eastAsia="仿宋_GB2312"/>
          <w:color w:val="000000"/>
          <w:sz w:val="32"/>
          <w:szCs w:val="32"/>
          <w:lang w:eastAsia="zh-CN"/>
        </w:rPr>
        <w:t>持续开展</w:t>
      </w:r>
      <w:r>
        <w:rPr>
          <w:rFonts w:hint="eastAsia" w:ascii="仿宋_GB2312" w:eastAsia="仿宋_GB2312"/>
          <w:sz w:val="32"/>
          <w:szCs w:val="32"/>
        </w:rPr>
        <w:t>日常</w:t>
      </w:r>
      <w:r>
        <w:rPr>
          <w:rFonts w:hint="eastAsia" w:ascii="仿宋_GB2312" w:eastAsia="仿宋_GB2312"/>
          <w:sz w:val="32"/>
          <w:szCs w:val="32"/>
          <w:lang w:eastAsia="zh-CN"/>
        </w:rPr>
        <w:t>检查。</w:t>
      </w:r>
      <w:r>
        <w:rPr>
          <w:rFonts w:hint="eastAsia" w:ascii="仿宋_GB2312" w:eastAsia="仿宋_GB2312"/>
          <w:sz w:val="32"/>
          <w:szCs w:val="32"/>
        </w:rPr>
        <w:t>市</w:t>
      </w:r>
      <w:r>
        <w:rPr>
          <w:rFonts w:hint="eastAsia" w:ascii="仿宋_GB2312" w:eastAsia="仿宋_GB2312"/>
          <w:sz w:val="32"/>
          <w:szCs w:val="32"/>
          <w:lang w:eastAsia="zh-CN"/>
        </w:rPr>
        <w:t>推进农村厕所革命工作</w:t>
      </w:r>
      <w:r>
        <w:rPr>
          <w:rFonts w:hint="eastAsia" w:ascii="仿宋_GB2312" w:eastAsia="仿宋_GB2312"/>
          <w:sz w:val="32"/>
          <w:szCs w:val="32"/>
        </w:rPr>
        <w:t>专班对各涉农区常态化开展实地暗访调研，发现问题以提示函的方式及时督促整改，并暗访检查整改完成情况，以确保将每一座厕所都建成农民满意的放心工程。加强改厕相关标准、规范等指导性文件的宣贯，组织各涉农区开展线上改厕培训班。为了更好了解各区改厕存在问题和困难，</w:t>
      </w:r>
      <w:r>
        <w:rPr>
          <w:rFonts w:hint="eastAsia" w:ascii="仿宋_GB2312" w:eastAsia="仿宋_GB2312"/>
          <w:bCs/>
          <w:sz w:val="32"/>
          <w:szCs w:val="32"/>
        </w:rPr>
        <w:t>我们每季召开1-2次线上调度工作会议，指出问题点位限期整改，对工作开展扎实有效的进行表扬，对工作推动不力的区采取现场点名、问询函等方式进行督促、提醒，形成了赶帮超的积极氛围。</w:t>
      </w:r>
    </w:p>
    <w:p w14:paraId="0AE271E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bCs/>
          <w:sz w:val="32"/>
          <w:szCs w:val="32"/>
        </w:rPr>
      </w:pPr>
      <w:r>
        <w:rPr>
          <w:rFonts w:hint="eastAsia" w:ascii="仿宋_GB2312" w:eastAsia="仿宋_GB2312"/>
          <w:sz w:val="32"/>
          <w:szCs w:val="32"/>
        </w:rPr>
        <w:t>二是农村改厕数据库基本建成。依托“三农”大数据平台，我市搭建起“厕所革命”数据平台，各相关区同步填报改厕基础数据信息，建档立卡和改厕工作全程重要节点资料全部入库，工作进展情况可实时掌控。</w:t>
      </w:r>
    </w:p>
    <w:p w14:paraId="187BF48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（3）时效指标2个，未全部完成。截</w:t>
      </w:r>
      <w:r>
        <w:rPr>
          <w:rFonts w:hint="eastAsia" w:ascii="仿宋_GB2312" w:eastAsia="仿宋_GB2312"/>
          <w:sz w:val="32"/>
          <w:szCs w:val="32"/>
          <w:lang w:eastAsia="zh-CN"/>
        </w:rPr>
        <w:t>至</w:t>
      </w:r>
      <w:r>
        <w:rPr>
          <w:rFonts w:hint="eastAsia" w:ascii="仿宋_GB2312" w:eastAsia="仿宋_GB2312"/>
          <w:sz w:val="32"/>
          <w:szCs w:val="32"/>
        </w:rPr>
        <w:t>2022年底，年度土地指标跨省域调剂收入安排的支出（农村厕所革命整村推进财政奖补）资金执行率31.06%。二是市级相关资金执行率77.65%。</w:t>
      </w:r>
    </w:p>
    <w:p w14:paraId="1E3963D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（4）成本指标1个，全部完成。普通户厕补贴标准按1000元/户分配执行。</w:t>
      </w:r>
    </w:p>
    <w:p w14:paraId="7DE1373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2.效益指标4个，全部完成。</w:t>
      </w:r>
    </w:p>
    <w:p w14:paraId="2EE7647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color w:val="000000"/>
          <w:sz w:val="32"/>
          <w:szCs w:val="32"/>
        </w:rPr>
      </w:pPr>
      <w:r>
        <w:rPr>
          <w:rFonts w:hint="eastAsia" w:ascii="仿宋_GB2312" w:eastAsia="仿宋_GB2312"/>
          <w:sz w:val="32"/>
          <w:szCs w:val="32"/>
        </w:rPr>
        <w:t>（1）社会效益指标2个，</w:t>
      </w:r>
      <w:r>
        <w:rPr>
          <w:rFonts w:hint="eastAsia" w:ascii="仿宋_GB2312" w:eastAsia="仿宋_GB2312"/>
          <w:color w:val="000000"/>
          <w:sz w:val="32"/>
          <w:szCs w:val="32"/>
        </w:rPr>
        <w:t>全部完成。</w:t>
      </w:r>
    </w:p>
    <w:p w14:paraId="26B8AD26">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eastAsia="仿宋_GB2312"/>
          <w:sz w:val="32"/>
          <w:szCs w:val="32"/>
        </w:rPr>
      </w:pPr>
      <w:r>
        <w:rPr>
          <w:rFonts w:hint="eastAsia" w:ascii="仿宋_GB2312" w:eastAsia="仿宋_GB2312"/>
          <w:color w:val="000000"/>
          <w:sz w:val="32"/>
          <w:szCs w:val="32"/>
        </w:rPr>
        <w:t>一是</w:t>
      </w:r>
      <w:r>
        <w:rPr>
          <w:rFonts w:hint="eastAsia" w:ascii="仿宋_GB2312" w:eastAsia="仿宋_GB2312"/>
          <w:sz w:val="32"/>
          <w:szCs w:val="32"/>
        </w:rPr>
        <w:t>当年完成农村厕所革命整村推进行政村的卫生厕所普及率达到100%。在各涉农区和相关部门的共同努力下，我市基本实现农村卫生厕所全覆盖。2022年，我市继续巩固厕所革命成果，加大力度推进农村改厕工作，进一步提高农村户厕普及率</w:t>
      </w:r>
      <w:r>
        <w:rPr>
          <w:rFonts w:hint="eastAsia" w:ascii="仿宋_GB2312" w:eastAsia="仿宋_GB2312"/>
          <w:sz w:val="32"/>
          <w:szCs w:val="32"/>
          <w:lang w:eastAsia="zh-CN"/>
        </w:rPr>
        <w:t>。</w:t>
      </w:r>
      <w:r>
        <w:rPr>
          <w:rFonts w:hint="eastAsia" w:ascii="仿宋_GB2312" w:eastAsia="仿宋_GB2312"/>
          <w:sz w:val="32"/>
          <w:szCs w:val="32"/>
        </w:rPr>
        <w:t>以全国农村户厕问题摸排整改“回头看”工作为契机，加强入户宣传引导，</w:t>
      </w:r>
      <w:r>
        <w:rPr>
          <w:rFonts w:hint="eastAsia" w:ascii="仿宋_GB2312" w:eastAsia="仿宋_GB2312"/>
          <w:color w:val="000000" w:themeColor="text1"/>
          <w:sz w:val="32"/>
          <w:szCs w:val="32"/>
          <w14:textFill>
            <w14:solidFill>
              <w14:schemeClr w14:val="tx1"/>
            </w14:solidFill>
          </w14:textFill>
        </w:rPr>
        <w:t>更好保障农村居民的生命安全和身体健康</w:t>
      </w:r>
      <w:r>
        <w:rPr>
          <w:rFonts w:hint="eastAsia" w:ascii="仿宋_GB2312" w:eastAsia="仿宋_GB2312"/>
          <w:bCs/>
          <w:color w:val="000000" w:themeColor="text1"/>
          <w:sz w:val="32"/>
          <w:szCs w:val="32"/>
          <w14:textFill>
            <w14:solidFill>
              <w14:schemeClr w14:val="tx1"/>
            </w14:solidFill>
          </w14:textFill>
        </w:rPr>
        <w:t>，</w:t>
      </w:r>
      <w:r>
        <w:rPr>
          <w:rFonts w:hint="eastAsia" w:ascii="仿宋_GB2312" w:eastAsia="仿宋_GB2312"/>
          <w:sz w:val="32"/>
          <w:szCs w:val="32"/>
        </w:rPr>
        <w:t>增强农民改厕主人翁意识。</w:t>
      </w:r>
    </w:p>
    <w:p w14:paraId="22ABA78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二是奖补资金使用无重大违规违纪问题。为确保奖补资金专款专用，加强资金监管力度，我市印发了《市农业农村委 市卫健委 市财政局关于进一步做好农村“厕所革命”工作的函》（津农委函〔2020〕3号），明确了资金管理使用环节和流程，奖补资金使用全年未发生重大违规违纪问题。</w:t>
      </w:r>
    </w:p>
    <w:p w14:paraId="7DCEC0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生态效益指标1个，全部完成。当年完成农村厕所革命整村推进行政村的厕所粪污无害化处理率达到100%，资源化利用工作有序开展。近年来，我市统筹推进农村厕所粪污治理与农村生活污水治理，因地制宜推进厕所粪污分散处理、集中处理或接入污水管网统一处理工作。对于不能接入管网的，</w:t>
      </w:r>
      <w:r>
        <w:rPr>
          <w:rFonts w:hint="eastAsia" w:ascii="仿宋_GB2312" w:eastAsia="仿宋_GB2312"/>
          <w:sz w:val="32"/>
          <w:szCs w:val="32"/>
          <w:lang w:eastAsia="zh-CN"/>
        </w:rPr>
        <w:t>农户就地就农就近处理，</w:t>
      </w:r>
      <w:r>
        <w:rPr>
          <w:rFonts w:hint="eastAsia" w:ascii="仿宋_GB2312" w:eastAsia="仿宋_GB2312"/>
          <w:sz w:val="32"/>
          <w:szCs w:val="32"/>
        </w:rPr>
        <w:t>以镇为单位，定期统一组织收集处理，鼓励各涉农区探索建立“农户+专业公司+合作社（或种粮大户、肥料生产企业）”等粪污处理模式，防止粪污随意倾倒、排放，实现厕所粪污资源化处理利用，达到村庄卫生环境清洁与农业绿色生产有机结合的循环发展目标。</w:t>
      </w:r>
    </w:p>
    <w:p w14:paraId="6C2BF08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可持续影响指标1个，全部完成。当年完成农村厕所革命整村推进行政村长效管护机制初步建立。为巩固农村厕所革命成果，保证农村厕所正常运转，切实解决农民群众“不愿用、没法用、用不上”等问题，进一步改善农村人居环境，</w:t>
      </w:r>
      <w:r>
        <w:rPr>
          <w:rFonts w:hint="eastAsia" w:ascii="仿宋_GB2312" w:eastAsia="仿宋_GB2312"/>
          <w:sz w:val="32"/>
          <w:szCs w:val="32"/>
          <w:lang w:eastAsia="zh-CN"/>
        </w:rPr>
        <w:t>印发了</w:t>
      </w:r>
      <w:r>
        <w:rPr>
          <w:rFonts w:hint="eastAsia" w:ascii="仿宋_GB2312" w:eastAsia="仿宋_GB2312"/>
          <w:sz w:val="32"/>
          <w:szCs w:val="32"/>
        </w:rPr>
        <w:t>《农村厕所革命服务站建设与管理的指导意见》，推动构建以农村厕所革命服务站为载体的长效管护机制。全力推进厕所革命服务站试点工作，在实现农村卫生厕所基本覆盖基础上建管并重，不仅要建成卫生厕所，还要让老百姓愿意用且用得好。</w:t>
      </w:r>
    </w:p>
    <w:p w14:paraId="034064E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3.满意度指标1个，全部完成。通过实施</w:t>
      </w:r>
      <w:r>
        <w:rPr>
          <w:rFonts w:hint="eastAsia" w:ascii="仿宋_GB2312" w:eastAsia="仿宋_GB2312"/>
          <w:sz w:val="32"/>
          <w:szCs w:val="32"/>
          <w:lang w:eastAsia="zh-CN"/>
        </w:rPr>
        <w:t>农村</w:t>
      </w:r>
      <w:r>
        <w:rPr>
          <w:rFonts w:hint="eastAsia" w:ascii="仿宋_GB2312" w:eastAsia="仿宋_GB2312"/>
          <w:sz w:val="32"/>
          <w:szCs w:val="32"/>
        </w:rPr>
        <w:t>厕所改造，极大改善了农民群众的生活品质，提升了农村群众的生活质量和村庄环境水平，得到了我市广大农民的衷心拥护。</w:t>
      </w:r>
    </w:p>
    <w:p w14:paraId="5273D9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黑体" w:hAnsi="黑体" w:eastAsia="黑体"/>
          <w:bCs/>
          <w:sz w:val="32"/>
          <w:szCs w:val="32"/>
        </w:rPr>
        <w:t>三、偏离绩效目标的原因和下一步改进措施。</w:t>
      </w:r>
      <w:r>
        <w:rPr>
          <w:rFonts w:hint="eastAsia" w:ascii="仿宋_GB2312" w:eastAsia="仿宋_GB2312"/>
          <w:sz w:val="32"/>
          <w:szCs w:val="32"/>
        </w:rPr>
        <w:t>按照《2019年农村“厕所革命”整村推进财政奖补工作方案》和《天津市农村厕所改造项目管理及考核验收办法》（</w:t>
      </w:r>
      <w:r>
        <w:rPr>
          <w:rFonts w:hint="eastAsia" w:ascii="仿宋_GB2312" w:eastAsia="仿宋_GB2312"/>
          <w:color w:val="000000"/>
          <w:sz w:val="32"/>
          <w:szCs w:val="32"/>
        </w:rPr>
        <w:t>津人居环境整治办〔2019〕17号</w:t>
      </w:r>
      <w:r>
        <w:rPr>
          <w:rFonts w:hint="eastAsia" w:ascii="仿宋_GB2312" w:eastAsia="仿宋_GB2312"/>
          <w:sz w:val="32"/>
          <w:szCs w:val="32"/>
        </w:rPr>
        <w:t>）的要求，资金拨付是以整村推进、先验后补为原则，涉及奖补的各区均按时完成年度计划，但因疫情原因导致有的区存在区级验收延迟的情况，目前相关区已加紧开展验收工作，按“整村推进、先验后补”的原则，奖补资金待区级验收完成后，立即向区财政申请执行。</w:t>
      </w:r>
    </w:p>
    <w:p w14:paraId="0D36C74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bCs/>
          <w:sz w:val="32"/>
          <w:szCs w:val="32"/>
        </w:rPr>
      </w:pPr>
      <w:r>
        <w:rPr>
          <w:rFonts w:hint="eastAsia" w:ascii="黑体" w:hAnsi="黑体" w:eastAsia="黑体"/>
          <w:bCs/>
          <w:sz w:val="32"/>
          <w:szCs w:val="32"/>
        </w:rPr>
        <w:t>四、绩效自评结果拟应用和公开情况。</w:t>
      </w:r>
      <w:r>
        <w:rPr>
          <w:rFonts w:hint="eastAsia" w:ascii="仿宋_GB2312" w:eastAsia="仿宋_GB2312"/>
          <w:color w:val="000000"/>
          <w:sz w:val="32"/>
          <w:szCs w:val="32"/>
        </w:rPr>
        <w:t>本次绩效自评结果拟按照《天津市农业农村委员会预算绩效管理暂行办法》（津农委计财〔2021〕108号）、《天津市市对区转移支付资金预算绩效管理办法》（津财绩效〔2020〕17号）、《天津市农业农村相关转移支付资金绩效管理实施细则》（津财农〔2019〕134号）有关规定进行应用，向社会公开，自觉接受社会各界监督，从而在强化评价结果导向机制方面发挥更大作用，为改进资金项目管理以及完善相关政策提供重要依据。</w:t>
      </w:r>
    </w:p>
    <w:p w14:paraId="3A7BF5A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黑体" w:hAnsi="黑体" w:eastAsia="黑体"/>
          <w:bCs/>
          <w:sz w:val="32"/>
          <w:szCs w:val="32"/>
        </w:rPr>
        <w:t>五、其他需要说明的问题。</w:t>
      </w:r>
      <w:r>
        <w:rPr>
          <w:rFonts w:hint="eastAsia" w:ascii="仿宋_GB2312" w:eastAsia="仿宋_GB2312"/>
          <w:sz w:val="32"/>
          <w:szCs w:val="32"/>
        </w:rPr>
        <w:t>目前，我市2022年中央和市级用于支持农村厕所革命整村推进财政奖补方向资金在各级审计和财政监督中未发现问题。下一步，我们将认真总结经验，及时解决实际工作发现的问题，确保巩固我市农村厕所革命成果。</w:t>
      </w:r>
    </w:p>
    <w:p w14:paraId="7B6C847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bCs/>
          <w:sz w:val="32"/>
          <w:szCs w:val="32"/>
        </w:rPr>
      </w:pPr>
    </w:p>
    <w:p w14:paraId="1714FAC8">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r>
        <w:rPr>
          <w:rFonts w:hint="eastAsia" w:ascii="仿宋_GB2312" w:eastAsia="仿宋_GB2312"/>
          <w:sz w:val="32"/>
          <w:szCs w:val="32"/>
          <w:lang w:eastAsia="zh-CN"/>
        </w:rPr>
        <w:t>附件</w:t>
      </w:r>
      <w:r>
        <w:rPr>
          <w:rFonts w:hint="eastAsia" w:ascii="仿宋_GB2312" w:eastAsia="仿宋_GB2312"/>
          <w:sz w:val="32"/>
          <w:szCs w:val="32"/>
        </w:rPr>
        <w:t>：天津市土地指标跨省域调剂收入安排的支出（支持农村厕所革命整村推进财政奖补）区域绩效目标自评表</w:t>
      </w:r>
    </w:p>
    <w:p w14:paraId="1A8BA495">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2EE129E1">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3A1E034D">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2F3B1797">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656BDDFA">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108B1279">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3A7C275F">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524C4B6D">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13B74BD7">
      <w:pPr>
        <w:spacing w:line="560" w:lineRule="exact"/>
        <w:jc w:val="both"/>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eastAsia="zh-CN"/>
        </w:rPr>
        <w:t>附件</w:t>
      </w:r>
      <w:r>
        <w:rPr>
          <w:rFonts w:hint="eastAsia" w:ascii="方正黑体_GBK" w:hAnsi="方正黑体_GBK" w:eastAsia="方正黑体_GBK" w:cs="方正黑体_GBK"/>
          <w:sz w:val="32"/>
          <w:szCs w:val="32"/>
          <w:lang w:val="en-US" w:eastAsia="zh-CN"/>
        </w:rPr>
        <w:t>9</w:t>
      </w:r>
    </w:p>
    <w:p w14:paraId="5EE39A69">
      <w:pPr>
        <w:spacing w:line="560" w:lineRule="exact"/>
        <w:jc w:val="center"/>
        <w:rPr>
          <w:rFonts w:ascii="方正小标宋简体" w:eastAsia="方正小标宋简体"/>
          <w:sz w:val="44"/>
          <w:szCs w:val="44"/>
        </w:rPr>
      </w:pPr>
    </w:p>
    <w:p w14:paraId="0907695C">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天津市农村综合改革转移支付资金</w:t>
      </w:r>
    </w:p>
    <w:p w14:paraId="6AB8C5FC">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2022年度绩效自评报告</w:t>
      </w:r>
    </w:p>
    <w:p w14:paraId="0F84D226">
      <w:pPr>
        <w:spacing w:line="560" w:lineRule="exact"/>
        <w:jc w:val="center"/>
        <w:rPr>
          <w:sz w:val="32"/>
          <w:szCs w:val="32"/>
        </w:rPr>
      </w:pPr>
    </w:p>
    <w:p w14:paraId="04CB3A8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落实中央关于全面推进预算绩效管理工作部署，按照《财政部关于印发&lt;农村综合改革转移支付管理办法&gt;的通知》（财农〔2021〕36号）以及《财政部关于开展2022年度中央对地方转移支付预算执行情况绩效自评工作的通知》（财监〔2023〕1号）要求，我市高度重视，印发《关于开展2022年度转移支付预算执行情况绩效自评工作的通知》（</w:t>
      </w:r>
      <w:r>
        <w:rPr>
          <w:rFonts w:hint="eastAsia" w:ascii="仿宋_GB2312" w:hAnsi="仿宋_GB2312" w:eastAsia="仿宋_GB2312" w:cs="仿宋_GB2312"/>
          <w:color w:val="000000"/>
          <w:sz w:val="32"/>
          <w:szCs w:val="32"/>
        </w:rPr>
        <w:t>津财绩效〔2023〕6号</w:t>
      </w:r>
      <w:r>
        <w:rPr>
          <w:rFonts w:hint="eastAsia" w:ascii="仿宋_GB2312" w:hAnsi="仿宋_GB2312" w:eastAsia="仿宋_GB2312" w:cs="仿宋_GB2312"/>
          <w:sz w:val="32"/>
          <w:szCs w:val="32"/>
        </w:rPr>
        <w:t>），明确绩效自评范围、主要内容和评价方法，积极开展绩效自评工作。现将我市农村综合改革转移支付资金2022年度绩效自评情况报告如下。</w:t>
      </w:r>
    </w:p>
    <w:p w14:paraId="734FE3AA">
      <w:pPr>
        <w:spacing w:line="560" w:lineRule="exact"/>
        <w:ind w:firstLine="640" w:firstLineChars="200"/>
        <w:rPr>
          <w:rFonts w:eastAsia="黑体"/>
          <w:sz w:val="32"/>
          <w:szCs w:val="32"/>
        </w:rPr>
      </w:pPr>
      <w:r>
        <w:rPr>
          <w:rFonts w:eastAsia="黑体"/>
          <w:sz w:val="32"/>
          <w:szCs w:val="32"/>
        </w:rPr>
        <w:t>一、绩效目标分解下达情况</w:t>
      </w:r>
    </w:p>
    <w:p w14:paraId="397EF888">
      <w:pPr>
        <w:spacing w:line="540" w:lineRule="exact"/>
        <w:ind w:firstLine="640" w:firstLineChars="200"/>
        <w:rPr>
          <w:rFonts w:hint="eastAsia" w:ascii="仿宋_GB2312" w:hAnsi="仿宋_GB2312" w:eastAsia="仿宋_GB2312" w:cs="仿宋_GB2312"/>
          <w:sz w:val="32"/>
          <w:szCs w:val="32"/>
        </w:rPr>
      </w:pPr>
      <w:r>
        <w:rPr>
          <w:rFonts w:eastAsia="楷体_GB2312"/>
          <w:sz w:val="32"/>
          <w:szCs w:val="32"/>
        </w:rPr>
        <w:t>（一）中央下达预算和绩效目标情况。</w:t>
      </w:r>
      <w:r>
        <w:rPr>
          <w:rFonts w:hint="eastAsia" w:ascii="仿宋_GB2312" w:hAnsi="仿宋_GB2312" w:eastAsia="仿宋_GB2312" w:cs="仿宋_GB2312"/>
          <w:sz w:val="32"/>
          <w:szCs w:val="32"/>
        </w:rPr>
        <w:t>2022年，中央下达我市农村综合改革转移支付资金6868万元，4838万元用于农村生活污水处理设施建设和美丽乡村奖补-人居环境整治示范村建设，区域绩效目标为：“推进农村公益事业建设；建设一批美丽乡村”；扶持壮大村集体经济1830万元，用于扶持我市村集体经济发展；红色美丽村庄建设试点200万元，用于我市红色美丽村庄建设。</w:t>
      </w:r>
    </w:p>
    <w:p w14:paraId="650E2D63">
      <w:pPr>
        <w:spacing w:line="560" w:lineRule="exact"/>
        <w:ind w:firstLine="640" w:firstLineChars="200"/>
        <w:rPr>
          <w:rFonts w:eastAsia="楷体_GB2312"/>
          <w:sz w:val="32"/>
          <w:szCs w:val="32"/>
        </w:rPr>
      </w:pPr>
      <w:r>
        <w:rPr>
          <w:rFonts w:eastAsia="楷体_GB2312"/>
          <w:sz w:val="32"/>
          <w:szCs w:val="32"/>
        </w:rPr>
        <w:t>（二）我市资金安排、分解下达预算和绩效目标情况。</w:t>
      </w:r>
    </w:p>
    <w:p w14:paraId="79019964">
      <w:pPr>
        <w:spacing w:line="54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sz w:val="32"/>
          <w:szCs w:val="32"/>
        </w:rPr>
        <w:t>1. 农村公益事业建设和美丽乡村建设。</w:t>
      </w:r>
      <w:r>
        <w:rPr>
          <w:rFonts w:hint="eastAsia" w:ascii="仿宋_GB2312" w:hAnsi="仿宋_GB2312" w:eastAsia="仿宋_GB2312" w:cs="仿宋_GB2312"/>
          <w:color w:val="000000"/>
          <w:sz w:val="32"/>
          <w:szCs w:val="32"/>
        </w:rPr>
        <w:t>按照《财政部关于提前下达2022年农村综合改革转移支付预算的通知》（财农〔2021〕109号）和《财政部关于下达2022年农村综合改革转移支付预算的通知》（财农〔2022〕47号）要求，结合我市实际，2021年11月和2022年7月，我市通过《天津市财政局关于提前下达中央财政和市财政2022年农业农村转移支付预算指标的通知》（津财农指〔2021〕47号）、《天津市财政局关于下达2022年中央财政农村综合改革转移支付等预算的通知》（津财农指〔2022〕21号），及时将中央财政资金4838万元和绩效目标等同步分解下达至各相关区，其中：蓟州区2748.2万元、宝坻区221万元、武清区268万元、宁河区523.9万元、静海区770.2万元、津南区36万元、西青区116.5万元、北辰区52.6万元、滨海新区101.6万元。</w:t>
      </w:r>
    </w:p>
    <w:p w14:paraId="70BC3C45">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2.扶持壮大村集体经济。</w:t>
      </w:r>
      <w:r>
        <w:rPr>
          <w:rFonts w:hint="eastAsia" w:ascii="仿宋_GB2312" w:hAnsi="仿宋_GB2312" w:eastAsia="仿宋_GB2312" w:cs="仿宋_GB2312"/>
          <w:sz w:val="32"/>
          <w:szCs w:val="32"/>
        </w:rPr>
        <w:t>根据中组部、财政部、农业农村部《关于坚持和加强农村基层党组织领导扶持壮大村级集体经济的通知》（中组发〔2018〕18号）、</w:t>
      </w:r>
      <w:r>
        <w:rPr>
          <w:rFonts w:hint="eastAsia" w:ascii="仿宋_GB2312" w:hAnsi="仿宋_GB2312" w:eastAsia="仿宋_GB2312" w:cs="仿宋_GB2312"/>
          <w:color w:val="000000"/>
          <w:sz w:val="32"/>
          <w:szCs w:val="32"/>
        </w:rPr>
        <w:t>《财政部关于提前下达2022年农村综合改革转移支付预算的通知》（财农〔2021〕109号）和《财政部关于下达2022年农村综合改革转移支付预算的通知》（财农〔2022〕47号）要求，结合我市实际，2021年11月和2022年7月，我市通过《天津市财政局关于提前下达中央财政和市财政2022年农业农村转移支付预算指标的通知》（津财农指〔2021〕47号）、《天津市财政局关于下达2022年中央财政农村综合改革转移支付等预算的通知》（津财农指〔2022〕21号）及时将中央财政资金1830万元和绩效目标等同步分解下达至各相关区。</w:t>
      </w:r>
      <w:r>
        <w:rPr>
          <w:rFonts w:hint="eastAsia" w:ascii="仿宋_GB2312" w:hAnsi="仿宋_GB2312" w:eastAsia="仿宋_GB2312" w:cs="仿宋_GB2312"/>
          <w:sz w:val="32"/>
          <w:szCs w:val="32"/>
        </w:rPr>
        <w:t>坚持把扶持壮大村级集体经济与创建乡村振兴示范村、扶持经济薄弱村发展紧密结合，综合考虑产业项目落地情况等因素，提出183个扶持村个数分配方案，按程序审议通过后将中央财政资金1830万元下达各有关涉农区，其中，滨海新区80万元，西青区40万元，津南区30万元，北辰区50万元，武清区280万元，宝坻区430万元，静海区210万元，宁河区130万元，蓟州区580万元。各涉农区对所辖扶持村认真组织编制实施方案，报经区党委、政府审议通过后实施。市委组织部、市财政局、市农业农村委结合职能职责，对183个扶持村的实施方案进行了认真审核，并对涉及的105个产业项目进行了实地抽核，形成情况报告。同时，指导有关区扎实推进扶持村产业项目实施，充分发挥扶持奖励资金的使用效益，发挥好扶持村的示范带动作用，力求实现村村都有稳定的集体经济收入，增强村级自我保障和服务群众能力。</w:t>
      </w:r>
    </w:p>
    <w:p w14:paraId="319EB76E">
      <w:pPr>
        <w:spacing w:line="588"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3.红色美丽村庄建设。</w:t>
      </w:r>
      <w:r>
        <w:rPr>
          <w:rFonts w:hint="eastAsia" w:ascii="仿宋_GB2312" w:hAnsi="仿宋_GB2312" w:eastAsia="仿宋_GB2312" w:cs="仿宋_GB2312"/>
          <w:sz w:val="32"/>
          <w:szCs w:val="32"/>
        </w:rPr>
        <w:t>根据《中共中央组织部 财政部关于开展推动红色村组织振兴建设红色美丽村庄试点工作的通知》（组通字〔2020〕16号）和《财政部关于下达2022年农村综合改革转移支付预算的通知》（财农〔2022〕47号），</w:t>
      </w:r>
      <w:r>
        <w:rPr>
          <w:rFonts w:hint="eastAsia" w:ascii="仿宋_GB2312" w:hAnsi="仿宋_GB2312" w:eastAsia="仿宋_GB2312" w:cs="仿宋_GB2312"/>
          <w:color w:val="000000"/>
          <w:sz w:val="32"/>
          <w:szCs w:val="32"/>
        </w:rPr>
        <w:t>及时将中央财政资金200万元和绩效目标等同步分解下达至各相关区。</w:t>
      </w:r>
      <w:r>
        <w:rPr>
          <w:rFonts w:hint="eastAsia" w:ascii="仿宋_GB2312" w:hAnsi="仿宋_GB2312" w:eastAsia="仿宋_GB2312" w:cs="仿宋_GB2312"/>
          <w:sz w:val="32"/>
          <w:szCs w:val="32"/>
        </w:rPr>
        <w:t>2022年，中组部确定我市1个红色村试点，下达美丽乡村奖补资金200万元。市委组织部、市财政局积极推进建设红色美丽村庄试点有关工作，紧紧围绕传承红色基因、弘扬革命传统，综合考虑深挖红色资源和整合产业项目等情况，研究提出宁河区俵口镇解放村为2022红色试点村，按程序审议通过后将中央财政资金200万元下达宁河区。宁河区对现有红色资源进行全面评估，认真组织编制实施方案，报经区党委、政府审议通过后实施。市委组织部、市财政局结合职能职责，对试点村的实施方案认真审核，并进行了实地抽核，形成了情况报告，连同实施方案一并报请市领导同志批示同意后，分别报中组部组织二局、财政部农业农村司。同时，指导各有关区扎实开展推动组织振兴建设红色美丽村庄试点，充分发挥中央财政奖补资金的使用效益，发挥好红色村试点的样板和标杆作用，努力实现集体资产保值增值，农民持续受益，不断增强党组织凝聚服务群众的能力。</w:t>
      </w:r>
    </w:p>
    <w:p w14:paraId="11A0D434">
      <w:pPr>
        <w:spacing w:line="560" w:lineRule="exact"/>
        <w:ind w:firstLine="640" w:firstLineChars="200"/>
        <w:rPr>
          <w:rFonts w:eastAsia="黑体"/>
          <w:bCs/>
          <w:sz w:val="32"/>
          <w:szCs w:val="32"/>
        </w:rPr>
      </w:pPr>
      <w:r>
        <w:rPr>
          <w:rFonts w:eastAsia="黑体"/>
          <w:bCs/>
          <w:sz w:val="32"/>
          <w:szCs w:val="32"/>
        </w:rPr>
        <w:t>二、绩效目标完成情况分析</w:t>
      </w:r>
    </w:p>
    <w:p w14:paraId="62ACEBE4">
      <w:pPr>
        <w:spacing w:line="560" w:lineRule="exact"/>
        <w:ind w:firstLine="640" w:firstLineChars="200"/>
        <w:outlineLvl w:val="0"/>
        <w:rPr>
          <w:rFonts w:eastAsia="楷体_GB2312"/>
          <w:b w:val="0"/>
          <w:bCs w:val="0"/>
          <w:sz w:val="32"/>
          <w:szCs w:val="32"/>
        </w:rPr>
      </w:pPr>
      <w:r>
        <w:rPr>
          <w:rFonts w:eastAsia="楷体_GB2312"/>
          <w:b w:val="0"/>
          <w:bCs w:val="0"/>
          <w:sz w:val="32"/>
          <w:szCs w:val="32"/>
        </w:rPr>
        <w:t>（一）资金投入情况分析。</w:t>
      </w:r>
    </w:p>
    <w:p w14:paraId="39A25D7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1.项目资金到位情况分析。</w:t>
      </w:r>
      <w:r>
        <w:rPr>
          <w:rFonts w:hint="eastAsia" w:ascii="仿宋_GB2312" w:hAnsi="仿宋_GB2312" w:eastAsia="仿宋_GB2312" w:cs="仿宋_GB2312"/>
          <w:color w:val="000000"/>
          <w:sz w:val="32"/>
          <w:szCs w:val="32"/>
        </w:rPr>
        <w:t>按照中央有关要求，2021年11月和2022年7月，我市先后印发《天津市财政局关于提前下达中央财政和市财政2022年农业农村转移支付预算指标的通知》（津财农指〔2021〕47号）、《天津市财政局关于下达2021年中央财政农村综合改革转移支付等预算的通知》（津财农指〔2022〕21号），将2022年中央财政农村综合改革预算6868万元全部下达至各相关区。</w:t>
      </w:r>
    </w:p>
    <w:p w14:paraId="7E8EE6AD">
      <w:pPr>
        <w:spacing w:line="560" w:lineRule="exact"/>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2.项目资金执行情况分析。</w:t>
      </w:r>
    </w:p>
    <w:p w14:paraId="1531AEF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一是</w:t>
      </w:r>
      <w:r>
        <w:rPr>
          <w:rFonts w:hint="eastAsia" w:ascii="仿宋_GB2312" w:hAnsi="仿宋_GB2312" w:eastAsia="仿宋_GB2312" w:cs="仿宋_GB2312"/>
          <w:sz w:val="32"/>
          <w:szCs w:val="32"/>
        </w:rPr>
        <w:t>农村公益事业建设和美丽乡村建设。</w:t>
      </w:r>
      <w:r>
        <w:rPr>
          <w:rFonts w:hint="eastAsia" w:ascii="仿宋_GB2312" w:hAnsi="仿宋_GB2312" w:eastAsia="仿宋_GB2312" w:cs="仿宋_GB2312"/>
          <w:color w:val="000000"/>
          <w:sz w:val="32"/>
          <w:szCs w:val="32"/>
        </w:rPr>
        <w:t>2022年资金总额83230.6万元，已执行49100.1万元，执行率59%。其中：中央财政资金4838万元、已执行747.2万元、执行率15.45%，地方资金78392.6万元、已执行48352.9万元、执行率61.68%。</w:t>
      </w:r>
    </w:p>
    <w:p w14:paraId="69E2A8DD">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二是扶持壮大村集体经济。扶持奖励资金全部拨付各涉农区后，由各区组织、财政、农业农村部门结合产业项目落地实施情况，统筹拨付到乡镇，作为项目建设资金、提升资金和奖励资金使用。</w:t>
      </w:r>
      <w:r>
        <w:rPr>
          <w:rFonts w:hint="eastAsia" w:ascii="仿宋_GB2312" w:hAnsi="仿宋_GB2312" w:eastAsia="仿宋_GB2312" w:cs="仿宋_GB2312"/>
          <w:sz w:val="32"/>
          <w:szCs w:val="32"/>
        </w:rPr>
        <w:t>2022年中央财政1830万元，已执行766.3万元，执行率41.87%。</w:t>
      </w:r>
    </w:p>
    <w:p w14:paraId="7A112EB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三是</w:t>
      </w:r>
      <w:r>
        <w:rPr>
          <w:rFonts w:hint="eastAsia" w:ascii="仿宋_GB2312" w:hAnsi="仿宋_GB2312" w:eastAsia="仿宋_GB2312" w:cs="仿宋_GB2312"/>
          <w:sz w:val="32"/>
          <w:szCs w:val="32"/>
        </w:rPr>
        <w:t>红色美丽村庄建设。2022年度资金总额1100万元，已执行1037.21万元，执行率94.29%。其中：中央财政资金200万元、已执行137.2万元、执行率68.6%；地方资金900万元、已执行900万元，执行率100%。</w:t>
      </w:r>
    </w:p>
    <w:p w14:paraId="768AB2D0">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color w:val="000000"/>
          <w:sz w:val="32"/>
          <w:szCs w:val="32"/>
        </w:rPr>
        <w:t>3.项目资金管理情况分析。</w:t>
      </w:r>
      <w:r>
        <w:rPr>
          <w:rFonts w:hint="eastAsia" w:ascii="仿宋_GB2312" w:hAnsi="仿宋_GB2312" w:eastAsia="仿宋_GB2312" w:cs="仿宋_GB2312"/>
          <w:sz w:val="32"/>
          <w:szCs w:val="32"/>
        </w:rPr>
        <w:t>为全面落实好中央财政农村综合改革转移支付资金管理要求，我市印发</w:t>
      </w:r>
      <w:r>
        <w:rPr>
          <w:rFonts w:hint="eastAsia" w:ascii="仿宋_GB2312" w:hAnsi="仿宋_GB2312" w:eastAsia="仿宋_GB2312" w:cs="仿宋_GB2312"/>
          <w:color w:val="000000"/>
          <w:sz w:val="32"/>
          <w:szCs w:val="32"/>
        </w:rPr>
        <w:t>《市农业农村委关于印发2022年农业农村财政资金项目实施方案的通知》等文件</w:t>
      </w:r>
      <w:r>
        <w:rPr>
          <w:rFonts w:hint="eastAsia" w:ascii="仿宋_GB2312" w:hAnsi="仿宋_GB2312" w:eastAsia="仿宋_GB2312" w:cs="仿宋_GB2312"/>
          <w:sz w:val="32"/>
          <w:szCs w:val="32"/>
        </w:rPr>
        <w:t>，明确提出2022年度项目资金继续实行“大专项+任务清单”管理模式。2019年11月，我市印发《天津市农业农村相关转移支付资金绩效管理实施细则》（津财农〔2019〕134号），以制度形式明确市、区两级财政、农业农村等部门绩效管理职责分工、组织程序、工作流程等，为顺利开展绩效自评工作奠定工作基础。此外，2020年1月我市印发《天津市农村社会发展资金管理办法》（津财农〔2020〕8号），将农村公益事业财政奖补项目建设和农村综合改革发展</w:t>
      </w:r>
      <w:r>
        <w:rPr>
          <w:rFonts w:hint="eastAsia" w:ascii="仿宋_GB2312" w:hAnsi="仿宋_GB2312" w:eastAsia="仿宋_GB2312" w:cs="仿宋_GB2312"/>
          <w:kern w:val="0"/>
          <w:sz w:val="32"/>
          <w:szCs w:val="32"/>
        </w:rPr>
        <w:t>等方向</w:t>
      </w:r>
      <w:r>
        <w:rPr>
          <w:rFonts w:hint="eastAsia" w:ascii="仿宋_GB2312" w:hAnsi="仿宋_GB2312" w:eastAsia="仿宋_GB2312" w:cs="仿宋_GB2312"/>
          <w:sz w:val="32"/>
          <w:szCs w:val="32"/>
        </w:rPr>
        <w:t>资金纳入我市农村社会发展“大专项”统筹管理。</w:t>
      </w:r>
    </w:p>
    <w:p w14:paraId="0F86160F">
      <w:pPr>
        <w:spacing w:line="560" w:lineRule="exact"/>
        <w:ind w:firstLine="640" w:firstLineChars="200"/>
        <w:outlineLvl w:val="0"/>
        <w:rPr>
          <w:rFonts w:eastAsia="楷体_GB2312"/>
          <w:b w:val="0"/>
          <w:bCs w:val="0"/>
          <w:sz w:val="32"/>
          <w:szCs w:val="32"/>
        </w:rPr>
      </w:pPr>
      <w:r>
        <w:rPr>
          <w:rFonts w:eastAsia="楷体_GB2312"/>
          <w:b w:val="0"/>
          <w:bCs w:val="0"/>
          <w:sz w:val="32"/>
          <w:szCs w:val="32"/>
        </w:rPr>
        <w:t>（二）总体绩效目标完成情况分析。</w:t>
      </w:r>
    </w:p>
    <w:p w14:paraId="57EF353D">
      <w:pPr>
        <w:spacing w:line="560" w:lineRule="exact"/>
        <w:ind w:firstLine="643" w:firstLineChars="200"/>
        <w:outlineLvl w:val="0"/>
        <w:rPr>
          <w:rFonts w:hint="eastAsia" w:ascii="仿宋_GB2312" w:hAnsi="仿宋_GB2312" w:eastAsia="仿宋_GB2312" w:cs="仿宋_GB2312"/>
          <w:color w:val="000000"/>
          <w:sz w:val="32"/>
          <w:szCs w:val="32"/>
        </w:rPr>
      </w:pPr>
      <w:r>
        <w:rPr>
          <w:rFonts w:hint="eastAsia" w:ascii="仿宋_GB2312" w:hAnsi="仿宋_GB2312" w:eastAsia="仿宋_GB2312" w:cs="仿宋_GB2312"/>
          <w:b/>
          <w:sz w:val="32"/>
          <w:szCs w:val="32"/>
        </w:rPr>
        <w:t>1.农村公益事业和美丽乡村建设。</w:t>
      </w:r>
      <w:r>
        <w:rPr>
          <w:rFonts w:hint="eastAsia" w:ascii="仿宋_GB2312" w:hAnsi="仿宋_GB2312" w:eastAsia="仿宋_GB2312" w:cs="仿宋_GB2312"/>
          <w:color w:val="000000"/>
          <w:sz w:val="32"/>
          <w:szCs w:val="32"/>
        </w:rPr>
        <w:t>2022年财政部下达我市年度总体绩效目标为：“推进农村公益事业建设；建设一批美丽乡村”，上述目标截至目前已全部完成。全年实际完成情如下：全市农村公益事业建设持续推进。年度完成770个村农村生活污水处理设施建设等任务，150个美丽乡村（“百千工程”人居环境整治示范村）完成建设，项目建设村村容村貌明显改善。</w:t>
      </w:r>
    </w:p>
    <w:p w14:paraId="7295E88D">
      <w:pPr>
        <w:spacing w:line="560" w:lineRule="exact"/>
        <w:ind w:firstLine="643"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2.扶持壮大村集体经济建设。</w:t>
      </w:r>
      <w:r>
        <w:rPr>
          <w:rFonts w:hint="eastAsia" w:ascii="仿宋_GB2312" w:hAnsi="仿宋_GB2312" w:eastAsia="仿宋_GB2312" w:cs="仿宋_GB2312"/>
          <w:sz w:val="32"/>
          <w:szCs w:val="32"/>
        </w:rPr>
        <w:t>截至目前，183个扶持村涉及的105个项目中，已经陆续建成运行并实现经济效益，各项工作按照既定的扶持计划推进，扶持村逐步实现稳定的经营性收入，自我保障和服务群众功能进一步增强。</w:t>
      </w:r>
    </w:p>
    <w:p w14:paraId="7A8089CE">
      <w:pPr>
        <w:spacing w:line="560" w:lineRule="exact"/>
        <w:ind w:firstLine="643"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3.红色美丽村庄建设。</w:t>
      </w:r>
      <w:r>
        <w:rPr>
          <w:rFonts w:hint="eastAsia" w:ascii="仿宋_GB2312" w:hAnsi="仿宋_GB2312" w:eastAsia="仿宋_GB2312" w:cs="仿宋_GB2312"/>
          <w:sz w:val="32"/>
          <w:szCs w:val="32"/>
        </w:rPr>
        <w:t>2022年宁河区红色美丽村庄建设试点按照制定的实施方案有序推进，红色资源优势得到挖掘和利用，红色产业引领的影响力持续扩大。</w:t>
      </w:r>
    </w:p>
    <w:p w14:paraId="45C11487">
      <w:pPr>
        <w:spacing w:line="560" w:lineRule="exact"/>
        <w:ind w:firstLine="640" w:firstLineChars="200"/>
        <w:outlineLvl w:val="0"/>
        <w:rPr>
          <w:rFonts w:eastAsia="楷体_GB2312"/>
          <w:b w:val="0"/>
          <w:bCs w:val="0"/>
          <w:sz w:val="32"/>
          <w:szCs w:val="32"/>
        </w:rPr>
      </w:pPr>
      <w:r>
        <w:rPr>
          <w:rFonts w:eastAsia="楷体_GB2312"/>
          <w:b w:val="0"/>
          <w:bCs w:val="0"/>
          <w:sz w:val="32"/>
          <w:szCs w:val="32"/>
        </w:rPr>
        <w:t>（三）绩效指标完成情况分析。</w:t>
      </w:r>
    </w:p>
    <w:p w14:paraId="28A6D5A4">
      <w:pPr>
        <w:spacing w:line="560"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全年共下达绩效指标19个，完成18个，暂未完成1个。</w:t>
      </w:r>
    </w:p>
    <w:p w14:paraId="14DA058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1.产出指标12个，全部完成。</w:t>
      </w:r>
    </w:p>
    <w:p w14:paraId="3E17C17C">
      <w:pPr>
        <w:spacing w:line="58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数量指标4个，全部完成。一是农村公益事业和美丽乡村建设。完成支持农村公益设施建设数量（农村生活污水处理设施建设村数）770个、支持美丽乡村建设数量（“百千工程”人居环境示范村整治建设）150个。二是扶持壮大村集体经济。确定183个扶持村、105个建设项目，陆续建成运行并实现经济效益。三是红色美丽村庄建设。确定宁河区俵口镇解放村为试点村，有序推进试点村项目建设，充分挖掘红色资源优势。</w:t>
      </w:r>
    </w:p>
    <w:p w14:paraId="7B49331A">
      <w:pPr>
        <w:spacing w:line="54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是质量指标5个，全部完成。美丽乡村建设（“百千工程”人居环境整治示范村建设）台账基本建立、美丽乡村建设项目村（“百千工程”人居环境整治示范村）、农村生活污水处理设施建设竣工验收率100%，实现污水的达标排放；红色美丽乡村试点台账、扶持村集体经济台账基本建立。</w:t>
      </w:r>
    </w:p>
    <w:p w14:paraId="66734BEC">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三是时效指标1个，暂未完成。截至2022年底，年度农村综合改革转移支付资金执行率59%，低于100%指标值要求。</w:t>
      </w:r>
    </w:p>
    <w:p w14:paraId="533ED2A7">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四是成本指标2个，全部完成。农村公益事业（村生活污水处理设施）建设兑付金额小于3502万元；美丽乡村（“百千工程”-人剧场环境整治示范村）建设项目兑付金额小于1336万元。</w:t>
      </w:r>
    </w:p>
    <w:p w14:paraId="397D2EA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2.效益指标5个，全部完成。</w:t>
      </w:r>
    </w:p>
    <w:p w14:paraId="3B4BA9F0">
      <w:pPr>
        <w:spacing w:line="58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一是经济效益指标1个。扶持壮大村级集体经济</w:t>
      </w:r>
      <w:r>
        <w:rPr>
          <w:rFonts w:hint="eastAsia" w:ascii="仿宋_GB2312" w:hAnsi="仿宋_GB2312" w:eastAsia="仿宋_GB2312" w:cs="仿宋_GB2312"/>
          <w:bCs/>
          <w:sz w:val="32"/>
          <w:szCs w:val="32"/>
        </w:rPr>
        <w:t>推动105个产业项目</w:t>
      </w:r>
      <w:r>
        <w:rPr>
          <w:rFonts w:hint="eastAsia" w:ascii="仿宋_GB2312" w:hAnsi="仿宋_GB2312" w:eastAsia="仿宋_GB2312" w:cs="仿宋_GB2312"/>
          <w:sz w:val="32"/>
          <w:szCs w:val="32"/>
        </w:rPr>
        <w:t>建成运行</w:t>
      </w:r>
      <w:r>
        <w:rPr>
          <w:rFonts w:hint="eastAsia" w:ascii="仿宋_GB2312" w:hAnsi="仿宋_GB2312" w:eastAsia="仿宋_GB2312" w:cs="仿宋_GB2312"/>
          <w:bCs/>
          <w:sz w:val="32"/>
          <w:szCs w:val="32"/>
        </w:rPr>
        <w:t>并实现稳定经营性收入</w:t>
      </w:r>
      <w:r>
        <w:rPr>
          <w:rFonts w:hint="eastAsia" w:ascii="仿宋_GB2312" w:hAnsi="仿宋_GB2312" w:eastAsia="仿宋_GB2312" w:cs="仿宋_GB2312"/>
          <w:sz w:val="32"/>
          <w:szCs w:val="32"/>
        </w:rPr>
        <w:t>，村级集体经济实力不断壮大。</w:t>
      </w:r>
    </w:p>
    <w:p w14:paraId="67218871">
      <w:pPr>
        <w:spacing w:line="58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是社会效益指标1个。在推进发展村级集体经济工作中，村党组织“轴心”作用得到巩固，战斗力凝聚力明显增强。在建设红色美丽村庄中，宁河区与“迎盛会、铸忠诚、强担当、创业绩”主题学习宣传教育活动结合起来，丰富教育资源，引导广大党员群众传承红色文化，弘扬革命精神，红色辐射力、影响力、带动力得到显著提升。 </w:t>
      </w:r>
    </w:p>
    <w:p w14:paraId="3B2F0F4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三是生态效益指标1个。通过项目建设，农村人居环境得到有效改善。</w:t>
      </w:r>
    </w:p>
    <w:p w14:paraId="138D24CD">
      <w:pPr>
        <w:spacing w:line="540"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四是可持续影响指标2个。农村公益事业滚动项目库基本建立，农村生活污水处理设施运行维护长效管护机制初步建立。</w:t>
      </w:r>
    </w:p>
    <w:p w14:paraId="699E799C">
      <w:pPr>
        <w:spacing w:line="560"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3.满意度指标2个，全部完成。项目区农民满意度96%，项目区基层干部满意度96%。</w:t>
      </w:r>
    </w:p>
    <w:p w14:paraId="325E399F">
      <w:pPr>
        <w:spacing w:line="560" w:lineRule="exact"/>
        <w:ind w:firstLine="640" w:firstLineChars="200"/>
        <w:rPr>
          <w:sz w:val="32"/>
          <w:szCs w:val="32"/>
        </w:rPr>
      </w:pPr>
      <w:r>
        <w:rPr>
          <w:rFonts w:eastAsia="黑体"/>
          <w:bCs/>
          <w:sz w:val="32"/>
          <w:szCs w:val="32"/>
        </w:rPr>
        <w:t>三、偏离绩效目标的原因和下一步改进措施</w:t>
      </w:r>
    </w:p>
    <w:p w14:paraId="49F3F825">
      <w:pPr>
        <w:spacing w:line="58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效指标中“截至2022年底，年度农村综合改革转移支付资金执行率100%”暂未完成，主要原因在于部分项目为跨年度项目，且疫情等原因，部分项目验收滞后，因此造成到2022年底中央财政资金暂未完成全部实际支付。</w:t>
      </w:r>
    </w:p>
    <w:p w14:paraId="44E5CC2D">
      <w:pPr>
        <w:spacing w:line="560" w:lineRule="exact"/>
        <w:ind w:firstLine="640" w:firstLineChars="200"/>
        <w:rPr>
          <w:rFonts w:eastAsia="黑体"/>
          <w:bCs/>
          <w:sz w:val="32"/>
          <w:szCs w:val="32"/>
        </w:rPr>
      </w:pPr>
      <w:r>
        <w:rPr>
          <w:rFonts w:eastAsia="黑体"/>
          <w:bCs/>
          <w:sz w:val="32"/>
          <w:szCs w:val="32"/>
        </w:rPr>
        <w:t>四、绩效自评结果拟应用和公开情况</w:t>
      </w:r>
    </w:p>
    <w:p w14:paraId="0DE40715">
      <w:pPr>
        <w:spacing w:line="560" w:lineRule="exact"/>
        <w:ind w:firstLine="640" w:firstLineChars="200"/>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color w:val="000000"/>
          <w:sz w:val="32"/>
          <w:szCs w:val="32"/>
        </w:rPr>
        <w:t>本次绩效自评结果拟按照《天津市农业农村委员会预算绩效管理暂行办法》（津农委计财〔2021〕108号）、《天津市市对区转移支付资金预算绩效管理办法》（津财绩效〔2020〕17号）、《天津市农业农村相关转移支付资金绩效管理实施细则》（津财农〔2019〕134号）有关规定进行应用，向社会公开，自觉接受社会各界监督，从而在强化评价结果导向机制方面发挥更大作用，为改进资金项目管理以及完善相关政策提供重要依据。</w:t>
      </w:r>
    </w:p>
    <w:p w14:paraId="32448A22">
      <w:pPr>
        <w:spacing w:line="560" w:lineRule="exact"/>
        <w:ind w:firstLine="640" w:firstLineChars="200"/>
        <w:rPr>
          <w:rFonts w:eastAsia="黑体"/>
          <w:bCs/>
          <w:sz w:val="32"/>
          <w:szCs w:val="32"/>
        </w:rPr>
      </w:pPr>
      <w:r>
        <w:rPr>
          <w:rFonts w:eastAsia="黑体"/>
          <w:bCs/>
          <w:sz w:val="32"/>
          <w:szCs w:val="32"/>
        </w:rPr>
        <w:t>五、其他需要说明的问题</w:t>
      </w:r>
    </w:p>
    <w:p w14:paraId="2317760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2C6B7029">
      <w:pPr>
        <w:spacing w:line="560" w:lineRule="exact"/>
        <w:ind w:firstLine="640" w:firstLineChars="200"/>
        <w:rPr>
          <w:rFonts w:hint="eastAsia" w:ascii="仿宋_GB2312" w:hAnsi="仿宋_GB2312" w:eastAsia="仿宋_GB2312" w:cs="仿宋_GB2312"/>
          <w:sz w:val="32"/>
          <w:szCs w:val="32"/>
        </w:rPr>
      </w:pPr>
    </w:p>
    <w:p w14:paraId="1C92620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附</w:t>
      </w:r>
      <w:r>
        <w:rPr>
          <w:rFonts w:hint="eastAsia" w:ascii="仿宋_GB2312" w:hAnsi="仿宋_GB2312" w:eastAsia="仿宋_GB2312" w:cs="仿宋_GB2312"/>
          <w:color w:val="000000"/>
          <w:sz w:val="32"/>
          <w:szCs w:val="32"/>
          <w:lang w:eastAsia="zh-CN"/>
        </w:rPr>
        <w:t>件</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天津市</w:t>
      </w:r>
      <w:r>
        <w:rPr>
          <w:rFonts w:hint="eastAsia" w:ascii="仿宋_GB2312" w:hAnsi="仿宋_GB2312" w:eastAsia="仿宋_GB2312" w:cs="仿宋_GB2312"/>
          <w:color w:val="000000"/>
          <w:sz w:val="32"/>
          <w:szCs w:val="32"/>
        </w:rPr>
        <w:t>农村综合改革区域绩效目标自评表</w:t>
      </w:r>
    </w:p>
    <w:p w14:paraId="2CF7B22C">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eastAsia="仿宋_GB2312"/>
          <w:sz w:val="32"/>
          <w:szCs w:val="32"/>
        </w:rPr>
      </w:pPr>
    </w:p>
    <w:p w14:paraId="25FCEEE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bCs/>
          <w:sz w:val="32"/>
          <w:szCs w:val="32"/>
        </w:rPr>
      </w:pPr>
    </w:p>
    <w:p w14:paraId="043ECC0C">
      <w:pPr>
        <w:rPr>
          <w:rFonts w:hint="eastAsia" w:eastAsia="黑体"/>
          <w:color w:val="000000"/>
          <w:sz w:val="32"/>
          <w:szCs w:val="32"/>
          <w:lang w:val="en-US" w:eastAsia="zh-CN"/>
        </w:rPr>
      </w:pPr>
    </w:p>
    <w:p w14:paraId="0946F466">
      <w:pPr>
        <w:spacing w:line="560" w:lineRule="exact"/>
        <w:ind w:firstLine="640" w:firstLineChars="200"/>
        <w:rPr>
          <w:rFonts w:eastAsia="仿宋_GB2312"/>
          <w:color w:val="000000"/>
          <w:sz w:val="32"/>
          <w:szCs w:val="32"/>
        </w:rPr>
      </w:pPr>
    </w:p>
    <w:p w14:paraId="44B90FFD"/>
    <w:sectPr>
      <w:footerReference r:id="rId3" w:type="default"/>
      <w:footerReference r:id="rId4" w:type="even"/>
      <w:pgSz w:w="11906" w:h="16838"/>
      <w:pgMar w:top="1440" w:right="1588" w:bottom="1440" w:left="1588" w:header="765" w:footer="76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876D1">
    <w:pPr>
      <w:pStyle w:val="2"/>
      <w:jc w:val="right"/>
      <w:rPr>
        <w:rFonts w:ascii="宋体" w:cs="Times New Roman"/>
        <w:sz w:val="28"/>
        <w:szCs w:val="28"/>
      </w:rPr>
    </w:pPr>
    <w:r>
      <w:rPr>
        <w:rFonts w:hint="eastAsia" w:ascii="宋体" w:cs="Times New Roman"/>
        <w:sz w:val="28"/>
        <w:szCs w:val="28"/>
      </w:rPr>
      <w:t xml:space="preserve">— </w:t>
    </w:r>
    <w:r>
      <w:rPr>
        <w:rFonts w:ascii="宋体" w:cs="Times New Roman"/>
        <w:sz w:val="28"/>
        <w:szCs w:val="28"/>
      </w:rPr>
      <w:fldChar w:fldCharType="begin"/>
    </w:r>
    <w:r>
      <w:rPr>
        <w:rFonts w:ascii="宋体" w:cs="Times New Roman"/>
        <w:sz w:val="28"/>
        <w:szCs w:val="28"/>
      </w:rPr>
      <w:instrText xml:space="preserve">PAGE   \* MERGEFORMAT</w:instrText>
    </w:r>
    <w:r>
      <w:rPr>
        <w:rFonts w:ascii="宋体" w:cs="Times New Roman"/>
        <w:sz w:val="28"/>
        <w:szCs w:val="28"/>
      </w:rPr>
      <w:fldChar w:fldCharType="separate"/>
    </w:r>
    <w:r>
      <w:rPr>
        <w:rFonts w:ascii="宋体" w:cs="Times New Roman"/>
        <w:sz w:val="28"/>
        <w:szCs w:val="28"/>
        <w:lang w:val="zh-CN"/>
      </w:rPr>
      <w:t>21</w:t>
    </w:r>
    <w:r>
      <w:rPr>
        <w:rFonts w:ascii="宋体" w:cs="Times New Roman"/>
        <w:sz w:val="28"/>
        <w:szCs w:val="28"/>
      </w:rPr>
      <w:fldChar w:fldCharType="end"/>
    </w:r>
    <w:r>
      <w:rPr>
        <w:rFonts w:ascii="宋体" w:cs="Times New Roman"/>
        <w:sz w:val="28"/>
        <w:szCs w:val="28"/>
      </w:rPr>
      <w:t xml:space="preserve"> </w:t>
    </w:r>
    <w:r>
      <w:rPr>
        <w:rFonts w:hint="eastAsia" w:ascii="宋体" w:cs="Times New Roman"/>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2E995">
    <w:pPr>
      <w:pStyle w:val="2"/>
      <w:rPr>
        <w:rFonts w:ascii="宋体" w:cs="Times New Roman"/>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hAnsi="宋体" w:cs="宋体"/>
        <w:sz w:val="28"/>
        <w:szCs w:val="28"/>
        <w:lang w:val="zh-CN"/>
      </w:rPr>
      <w:t>2</w:t>
    </w:r>
    <w:r>
      <w:rPr>
        <w:rFonts w:ascii="宋体" w:hAnsi="宋体" w:cs="宋体"/>
        <w:sz w:val="28"/>
        <w:szCs w:val="28"/>
      </w:rPr>
      <w:fldChar w:fldCharType="end"/>
    </w:r>
    <w:r>
      <w:rPr>
        <w:rFonts w:ascii="宋体" w:hAnsi="宋体" w:cs="宋体"/>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yZGZiYWEzZWQ4NGJhNDg0N2IyMGEzZThiYmI1YzIifQ=="/>
  </w:docVars>
  <w:rsids>
    <w:rsidRoot w:val="26151F32"/>
    <w:rsid w:val="1C5E0955"/>
    <w:rsid w:val="26151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25865</Words>
  <Characters>28404</Characters>
  <Lines>0</Lines>
  <Paragraphs>0</Paragraphs>
  <TotalTime>0</TotalTime>
  <ScaleCrop>false</ScaleCrop>
  <LinksUpToDate>false</LinksUpToDate>
  <CharactersWithSpaces>28515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2023-12-11T02:05:00Z</dcterms:created>
  <dc:creator>jiangyongmeimei</dc:creator>
  <cp:lastModifiedBy>jiangyongmeimei</cp:lastModifiedBy>
  <dcterms:modified xsi:type="dcterms:W3CDTF">2025-04-25T07:46:56Z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D31670F6CAB5406FBABCAE4F65358F07_11</vt:lpwstr>
  </property>
  <property fmtid="{D5CDD505-2E9C-101B-9397-08002B2CF9AE}" pid="4" name="KSOTemplateDocerSaveRecord">
    <vt:lpwstr>eyJoZGlkIjoiNGYyZGZiYWEzZWQ4NGJhNDg0N2IyMGEzZThiYmI1YzIiLCJ1c2VySWQiOiIxMjI2NDE2MDkwIn0=</vt:lpwstr>
  </property>
</Properties>
</file>