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rPr>
          <w:rFonts w:ascii="Times New Roman" w:eastAsiaTheme="minorEastAsia"/>
          <w:sz w:val="32"/>
          <w:szCs w:val="24"/>
          <w:lang w:val="zh-CN"/>
        </w:rPr>
      </w:pPr>
    </w:p>
    <w:p>
      <w:pPr>
        <w:autoSpaceDE w:val="0"/>
        <w:autoSpaceDN w:val="0"/>
        <w:adjustRightInd w:val="0"/>
        <w:spacing w:line="580" w:lineRule="exact"/>
        <w:jc w:val="center"/>
        <w:rPr>
          <w:rFonts w:ascii="黑体" w:hAnsi="Times New Roman" w:eastAsia="黑体"/>
          <w:sz w:val="44"/>
          <w:szCs w:val="24"/>
          <w:lang w:val="zh-CN"/>
        </w:rPr>
      </w:pPr>
      <w:r>
        <w:rPr>
          <w:rFonts w:hint="eastAsia" w:ascii="黑体" w:hAnsi="Times New Roman" w:eastAsia="黑体"/>
          <w:sz w:val="44"/>
          <w:szCs w:val="24"/>
          <w:lang w:val="zh-CN"/>
        </w:rPr>
        <w:t>天津市无公害农产品（种植业）管理中心</w:t>
      </w:r>
      <w:r>
        <w:rPr>
          <w:rFonts w:ascii="黑体" w:hAnsi="Times New Roman" w:eastAsia="黑体"/>
          <w:sz w:val="44"/>
          <w:szCs w:val="24"/>
          <w:lang w:val="zh-CN"/>
        </w:rPr>
        <w:t>2018</w:t>
      </w:r>
      <w:r>
        <w:rPr>
          <w:rFonts w:hint="eastAsia" w:ascii="黑体" w:hAnsi="Times New Roman" w:eastAsia="黑体"/>
          <w:sz w:val="44"/>
          <w:szCs w:val="24"/>
          <w:lang w:val="zh-CN"/>
        </w:rPr>
        <w:t>年度部门决算编制说明</w:t>
      </w:r>
    </w:p>
    <w:p>
      <w:pPr>
        <w:autoSpaceDE w:val="0"/>
        <w:autoSpaceDN w:val="0"/>
        <w:adjustRightInd w:val="0"/>
        <w:spacing w:line="580" w:lineRule="exact"/>
        <w:jc w:val="center"/>
        <w:rPr>
          <w:rFonts w:ascii="黑体" w:hAnsi="Times New Roman" w:eastAsia="黑体"/>
          <w:sz w:val="30"/>
          <w:szCs w:val="24"/>
          <w:lang w:val="zh-CN"/>
        </w:rPr>
      </w:pPr>
    </w:p>
    <w:p>
      <w:pPr>
        <w:autoSpaceDE w:val="0"/>
        <w:autoSpaceDN w:val="0"/>
        <w:adjustRightInd w:val="0"/>
        <w:spacing w:line="580" w:lineRule="exact"/>
        <w:jc w:val="center"/>
        <w:rPr>
          <w:rFonts w:ascii="黑体" w:hAnsi="Times New Roman" w:eastAsia="黑体"/>
          <w:sz w:val="30"/>
          <w:szCs w:val="24"/>
          <w:lang w:val="zh-CN"/>
        </w:rPr>
      </w:pPr>
      <w:r>
        <w:rPr>
          <w:rFonts w:hint="eastAsia" w:ascii="黑体" w:hAnsi="Times New Roman" w:eastAsia="黑体"/>
          <w:sz w:val="30"/>
          <w:szCs w:val="24"/>
          <w:lang w:val="zh-CN"/>
        </w:rPr>
        <w:t>第一部分</w:t>
      </w:r>
      <w:r>
        <w:rPr>
          <w:rFonts w:ascii="黑体" w:hAnsi="Times New Roman" w:eastAsia="黑体"/>
          <w:sz w:val="30"/>
          <w:szCs w:val="24"/>
          <w:lang w:val="zh-CN"/>
        </w:rPr>
        <w:t xml:space="preserve">    </w:t>
      </w:r>
      <w:r>
        <w:rPr>
          <w:rFonts w:hint="eastAsia" w:ascii="黑体" w:hAnsi="Times New Roman" w:eastAsia="黑体"/>
          <w:sz w:val="30"/>
          <w:szCs w:val="24"/>
          <w:lang w:val="zh-CN"/>
        </w:rPr>
        <w:t>天津市无公害农产品（种植业）管理中心概况</w:t>
      </w:r>
    </w:p>
    <w:p>
      <w:pPr>
        <w:autoSpaceDE w:val="0"/>
        <w:autoSpaceDN w:val="0"/>
        <w:adjustRightInd w:val="0"/>
        <w:spacing w:line="580" w:lineRule="exact"/>
        <w:ind w:firstLine="480"/>
        <w:jc w:val="left"/>
        <w:rPr>
          <w:rFonts w:ascii="Times New Roman" w:hAnsi="Times New Roman" w:eastAsia="黑体"/>
          <w:sz w:val="24"/>
          <w:szCs w:val="24"/>
          <w:lang w:val="zh-CN"/>
        </w:rPr>
      </w:pPr>
    </w:p>
    <w:p>
      <w:pPr>
        <w:autoSpaceDE w:val="0"/>
        <w:autoSpaceDN w:val="0"/>
        <w:adjustRightInd w:val="0"/>
        <w:spacing w:line="580" w:lineRule="exact"/>
        <w:ind w:firstLine="602"/>
        <w:jc w:val="left"/>
        <w:rPr>
          <w:rFonts w:ascii="楷体_GB2312" w:hAnsi="Times New Roman" w:eastAsia="楷体_GB2312"/>
          <w:b/>
          <w:sz w:val="30"/>
          <w:szCs w:val="24"/>
          <w:lang w:val="zh-CN"/>
        </w:rPr>
      </w:pPr>
      <w:r>
        <w:rPr>
          <w:rFonts w:hint="eastAsia" w:ascii="楷体_GB2312" w:hAnsi="Times New Roman" w:eastAsia="楷体_GB2312"/>
          <w:b/>
          <w:sz w:val="30"/>
          <w:szCs w:val="24"/>
          <w:lang w:val="zh-CN"/>
        </w:rPr>
        <w:t>一、主要职责</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rPr>
        <w:t>根据有关规定，负责无公害农产品（种植业）产地认定、经销企业认证及产品认证初审；负责无公害初级农产品（种植业）生产环节的质量安全监管；负责无公害农产品（种植业）质量安全标志的使用及管理；负责无公害农产品（种植业）质量安全标准化示范基地建设及日常管理工作；负责无公害农产品（种植业）质量安全相关法律、法规等宣传培训。</w:t>
      </w:r>
    </w:p>
    <w:p>
      <w:pPr>
        <w:autoSpaceDE w:val="0"/>
        <w:autoSpaceDN w:val="0"/>
        <w:adjustRightInd w:val="0"/>
        <w:spacing w:line="580" w:lineRule="exact"/>
        <w:ind w:firstLine="602"/>
        <w:jc w:val="left"/>
        <w:rPr>
          <w:rFonts w:ascii="楷体_GB2312" w:hAnsi="Times New Roman" w:eastAsia="楷体_GB2312"/>
          <w:b/>
          <w:sz w:val="30"/>
          <w:szCs w:val="24"/>
          <w:lang w:val="zh-CN"/>
        </w:rPr>
      </w:pPr>
      <w:r>
        <w:rPr>
          <w:rFonts w:hint="eastAsia" w:ascii="楷体_GB2312" w:hAnsi="Times New Roman" w:eastAsia="楷体_GB2312"/>
          <w:b/>
          <w:sz w:val="30"/>
          <w:szCs w:val="24"/>
          <w:lang w:val="zh-CN"/>
        </w:rPr>
        <w:t>二、机构设置</w:t>
      </w:r>
    </w:p>
    <w:p>
      <w:pPr>
        <w:widowControl/>
        <w:spacing w:beforeLines="0" w:afterLines="0" w:line="580" w:lineRule="exact"/>
        <w:ind w:firstLine="600"/>
        <w:jc w:val="left"/>
        <w:rPr>
          <w:rFonts w:hint="eastAsia" w:ascii="仿宋_GB2312" w:hAnsi="仿宋_GB2312" w:eastAsia="仿宋_GB2312" w:cs="Times New Roman"/>
          <w:color w:val="auto"/>
          <w:sz w:val="30"/>
          <w:szCs w:val="22"/>
          <w:lang w:val="zh-CN"/>
        </w:rPr>
      </w:pPr>
      <w:r>
        <w:rPr>
          <w:rFonts w:hint="eastAsia" w:ascii="仿宋_GB2312" w:hAnsi="仿宋_GB2312" w:eastAsia="仿宋_GB2312" w:cs="Times New Roman"/>
          <w:color w:val="auto"/>
          <w:sz w:val="30"/>
          <w:szCs w:val="22"/>
          <w:lang w:val="zh-CN"/>
        </w:rPr>
        <w:t>根据上述职责，天津市无公害农产品（种植业）管理中心内设  4个职能科室，分别是办公室、监管科、认证科、技术科。</w:t>
      </w:r>
    </w:p>
    <w:p>
      <w:pPr>
        <w:autoSpaceDE w:val="0"/>
        <w:autoSpaceDN w:val="0"/>
        <w:adjustRightInd w:val="0"/>
        <w:spacing w:line="580" w:lineRule="exact"/>
        <w:ind w:firstLine="600"/>
        <w:jc w:val="left"/>
        <w:rPr>
          <w:rFonts w:ascii="仿宋_GB2312" w:hAnsi="Times New Roman" w:eastAsia="仿宋_GB2312"/>
          <w:sz w:val="30"/>
          <w:szCs w:val="24"/>
          <w:lang w:val="zh-CN"/>
        </w:rPr>
      </w:pPr>
    </w:p>
    <w:p>
      <w:pPr>
        <w:autoSpaceDE w:val="0"/>
        <w:autoSpaceDN w:val="0"/>
        <w:adjustRightInd w:val="0"/>
        <w:spacing w:line="580" w:lineRule="exact"/>
        <w:ind w:firstLine="600"/>
        <w:jc w:val="center"/>
        <w:rPr>
          <w:rFonts w:ascii="黑体" w:hAnsi="Times New Roman" w:eastAsia="黑体"/>
          <w:sz w:val="30"/>
          <w:szCs w:val="24"/>
          <w:lang w:val="zh-CN"/>
        </w:rPr>
      </w:pPr>
      <w:r>
        <w:rPr>
          <w:rFonts w:hint="eastAsia" w:ascii="黑体" w:hAnsi="Times New Roman" w:eastAsia="黑体"/>
          <w:sz w:val="30"/>
          <w:szCs w:val="24"/>
          <w:lang w:val="zh-CN"/>
        </w:rPr>
        <w:t>第二部分</w:t>
      </w:r>
      <w:r>
        <w:rPr>
          <w:rFonts w:ascii="黑体" w:hAnsi="Times New Roman" w:eastAsia="黑体"/>
          <w:sz w:val="30"/>
          <w:szCs w:val="24"/>
          <w:lang w:val="zh-CN"/>
        </w:rPr>
        <w:t xml:space="preserve">  </w:t>
      </w:r>
      <w:r>
        <w:rPr>
          <w:rFonts w:hint="eastAsia" w:ascii="黑体" w:hAnsi="Times New Roman" w:eastAsia="黑体"/>
          <w:sz w:val="30"/>
          <w:szCs w:val="24"/>
          <w:lang w:val="zh-CN"/>
        </w:rPr>
        <w:t>天津市无公害农产品（种植业）管理中心</w:t>
      </w:r>
      <w:r>
        <w:rPr>
          <w:rFonts w:ascii="黑体" w:hAnsi="Times New Roman" w:eastAsia="黑体"/>
          <w:sz w:val="30"/>
          <w:szCs w:val="24"/>
          <w:lang w:val="zh-CN"/>
        </w:rPr>
        <w:t>2018</w:t>
      </w:r>
      <w:r>
        <w:rPr>
          <w:rFonts w:hint="eastAsia" w:ascii="黑体" w:hAnsi="Times New Roman" w:eastAsia="黑体"/>
          <w:sz w:val="30"/>
          <w:szCs w:val="24"/>
          <w:lang w:val="zh-CN"/>
        </w:rPr>
        <w:t>年度部门决算情况说明</w:t>
      </w:r>
    </w:p>
    <w:p>
      <w:pPr>
        <w:autoSpaceDE w:val="0"/>
        <w:autoSpaceDN w:val="0"/>
        <w:adjustRightInd w:val="0"/>
        <w:spacing w:line="580" w:lineRule="exact"/>
        <w:ind w:firstLine="600"/>
        <w:jc w:val="left"/>
        <w:rPr>
          <w:rFonts w:ascii="黑体" w:hAnsi="Times New Roman" w:eastAsia="黑体"/>
          <w:sz w:val="30"/>
          <w:szCs w:val="24"/>
          <w:lang w:val="zh-CN"/>
        </w:rPr>
      </w:pPr>
    </w:p>
    <w:p>
      <w:pPr>
        <w:autoSpaceDE w:val="0"/>
        <w:autoSpaceDN w:val="0"/>
        <w:adjustRightInd w:val="0"/>
        <w:spacing w:line="580" w:lineRule="exact"/>
        <w:ind w:firstLine="602"/>
        <w:jc w:val="left"/>
        <w:rPr>
          <w:rFonts w:ascii="楷体_GB2312" w:hAnsi="Times New Roman" w:eastAsia="楷体_GB2312"/>
          <w:b/>
          <w:sz w:val="30"/>
          <w:szCs w:val="24"/>
          <w:lang w:val="zh-CN"/>
        </w:rPr>
      </w:pPr>
      <w:r>
        <w:rPr>
          <w:rFonts w:hint="eastAsia" w:ascii="楷体_GB2312" w:hAnsi="Times New Roman" w:eastAsia="楷体_GB2312"/>
          <w:b/>
          <w:sz w:val="30"/>
          <w:szCs w:val="24"/>
          <w:lang w:val="zh-CN"/>
        </w:rPr>
        <w:t>一、</w:t>
      </w:r>
      <w:r>
        <w:rPr>
          <w:rFonts w:ascii="楷体_GB2312" w:hAnsi="Times New Roman" w:eastAsia="楷体_GB2312"/>
          <w:b/>
          <w:sz w:val="30"/>
          <w:szCs w:val="24"/>
          <w:lang w:val="zh-CN"/>
        </w:rPr>
        <w:t>2018</w:t>
      </w:r>
      <w:r>
        <w:rPr>
          <w:rFonts w:hint="eastAsia" w:ascii="楷体_GB2312" w:hAnsi="Times New Roman" w:eastAsia="楷体_GB2312"/>
          <w:b/>
          <w:sz w:val="30"/>
          <w:szCs w:val="24"/>
          <w:lang w:val="zh-CN"/>
        </w:rPr>
        <w:t>年度部门决算收入情况</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val="zh-CN"/>
        </w:rPr>
        <w:t>天津市无公害农产品（种植业）管理中心2018年度部门决算收入总计13,078,768.07</w:t>
      </w:r>
      <w:r>
        <w:rPr>
          <w:rFonts w:hint="eastAsia" w:ascii="仿宋_GB2312" w:hAnsi="仿宋_GB2312" w:eastAsia="仿宋_GB2312" w:cs="Times New Roman"/>
          <w:color w:val="auto"/>
          <w:sz w:val="30"/>
          <w:szCs w:val="22"/>
          <w:lang/>
        </w:rPr>
        <w:t>元，与2017年决算相比减少4,683,654.16元，其中：财政拨款收入11,054,600元，占84.52%；占0%；其他收入119,133.09元，占0.91%。</w:t>
      </w:r>
    </w:p>
    <w:p>
      <w:pPr>
        <w:autoSpaceDE w:val="0"/>
        <w:autoSpaceDN w:val="0"/>
        <w:adjustRightInd w:val="0"/>
        <w:spacing w:line="580" w:lineRule="exact"/>
        <w:ind w:firstLine="602"/>
        <w:jc w:val="left"/>
        <w:rPr>
          <w:rFonts w:ascii="楷体_GB2312" w:hAnsi="Times New Roman" w:eastAsia="楷体_GB2312"/>
          <w:b/>
          <w:sz w:val="30"/>
          <w:szCs w:val="24"/>
        </w:rPr>
      </w:pPr>
      <w:r>
        <w:rPr>
          <w:rFonts w:hint="eastAsia" w:ascii="楷体_GB2312" w:hAnsi="Times New Roman" w:eastAsia="楷体_GB2312"/>
          <w:b/>
          <w:sz w:val="30"/>
          <w:szCs w:val="24"/>
        </w:rPr>
        <w:t>二、</w:t>
      </w:r>
      <w:r>
        <w:rPr>
          <w:rFonts w:ascii="楷体_GB2312" w:hAnsi="Times New Roman" w:eastAsia="楷体_GB2312"/>
          <w:b/>
          <w:sz w:val="30"/>
          <w:szCs w:val="24"/>
        </w:rPr>
        <w:t>2018</w:t>
      </w:r>
      <w:r>
        <w:rPr>
          <w:rFonts w:hint="eastAsia" w:ascii="楷体_GB2312" w:hAnsi="Times New Roman" w:eastAsia="楷体_GB2312"/>
          <w:b/>
          <w:sz w:val="30"/>
          <w:szCs w:val="24"/>
        </w:rPr>
        <w:t>年度部门决算支出情况</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rPr>
        <w:t>天津市无公害农产品（种植业）管理中心2018年度部门决算支出总计13,078,768.07元，与2017年决算相比减少4,683,654.16元，其中：基本支出4,935,866.24元，占37.74%；项目支出6,222,942.1元，占47.58%。</w:t>
      </w:r>
    </w:p>
    <w:p>
      <w:pPr>
        <w:autoSpaceDE w:val="0"/>
        <w:autoSpaceDN w:val="0"/>
        <w:adjustRightInd w:val="0"/>
        <w:spacing w:line="580" w:lineRule="exact"/>
        <w:ind w:firstLine="602"/>
        <w:jc w:val="left"/>
        <w:rPr>
          <w:rFonts w:ascii="楷体_GB2312" w:hAnsi="Times New Roman" w:eastAsia="楷体_GB2312"/>
          <w:b/>
          <w:sz w:val="30"/>
          <w:szCs w:val="24"/>
        </w:rPr>
      </w:pPr>
      <w:r>
        <w:rPr>
          <w:rFonts w:hint="eastAsia" w:ascii="楷体_GB2312" w:hAnsi="Times New Roman" w:eastAsia="楷体_GB2312"/>
          <w:b/>
          <w:sz w:val="30"/>
          <w:szCs w:val="24"/>
        </w:rPr>
        <w:t>三、</w:t>
      </w:r>
      <w:r>
        <w:rPr>
          <w:rFonts w:ascii="楷体_GB2312" w:hAnsi="Times New Roman" w:eastAsia="楷体_GB2312"/>
          <w:b/>
          <w:sz w:val="30"/>
          <w:szCs w:val="24"/>
        </w:rPr>
        <w:t>2018</w:t>
      </w:r>
      <w:r>
        <w:rPr>
          <w:rFonts w:hint="eastAsia" w:ascii="楷体_GB2312" w:hAnsi="Times New Roman" w:eastAsia="楷体_GB2312"/>
          <w:b/>
          <w:sz w:val="30"/>
          <w:szCs w:val="24"/>
        </w:rPr>
        <w:t>年度部门决算一般公共预算财政拨款支出情况</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rPr>
        <w:t>天津市无公害农产品（种植业）管理中心2018年度部门决算一般公共预算财政拨款支出总计11,150,222.24元，与2017年决算相比减少3,471,193.01元，具体情况如下：</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rPr>
        <w:t>1、</w:t>
      </w:r>
      <w:r>
        <w:rPr>
          <w:rFonts w:hint="eastAsia" w:ascii="仿宋_GB2312" w:hAnsi="仿宋_GB2312" w:eastAsia="仿宋_GB2312" w:cs="Times New Roman"/>
          <w:color w:val="auto"/>
          <w:sz w:val="30"/>
          <w:szCs w:val="22"/>
          <w:lang w:val="zh-CN"/>
        </w:rPr>
        <w:t>“科学技术支出”</w:t>
      </w:r>
      <w:r>
        <w:rPr>
          <w:rFonts w:hint="eastAsia" w:ascii="仿宋_GB2312" w:hAnsi="仿宋_GB2312" w:eastAsia="仿宋_GB2312" w:cs="Times New Roman"/>
          <w:color w:val="auto"/>
          <w:sz w:val="30"/>
          <w:szCs w:val="22"/>
          <w:lang/>
        </w:rPr>
        <w:t>244,200元，其中：</w:t>
      </w:r>
    </w:p>
    <w:p>
      <w:pPr>
        <w:widowControl/>
        <w:spacing w:beforeLines="0" w:afterLines="0" w:line="580" w:lineRule="exact"/>
        <w:ind w:firstLine="600"/>
        <w:jc w:val="left"/>
        <w:rPr>
          <w:rFonts w:hint="eastAsia" w:ascii="仿宋_GB2312" w:hAnsi="仿宋_GB2312" w:eastAsia="仿宋_GB2312" w:cs="Times New Roman"/>
          <w:color w:val="auto"/>
          <w:sz w:val="30"/>
          <w:szCs w:val="22"/>
          <w:lang w:val="zh-CN"/>
        </w:rPr>
      </w:pPr>
      <w:r>
        <w:rPr>
          <w:rFonts w:hint="eastAsia" w:ascii="仿宋_GB2312" w:hAnsi="仿宋_GB2312" w:eastAsia="仿宋_GB2312" w:cs="Times New Roman"/>
          <w:color w:val="auto"/>
          <w:sz w:val="30"/>
          <w:szCs w:val="22"/>
          <w:lang w:val="zh-CN"/>
        </w:rPr>
        <w:t xml:space="preserve">  “科技重大项目”</w:t>
      </w:r>
      <w:r>
        <w:rPr>
          <w:rFonts w:hint="eastAsia" w:ascii="仿宋_GB2312" w:hAnsi="仿宋_GB2312" w:eastAsia="仿宋_GB2312" w:cs="Times New Roman"/>
          <w:color w:val="auto"/>
          <w:sz w:val="30"/>
          <w:szCs w:val="22"/>
          <w:lang/>
        </w:rPr>
        <w:t>244,200元，</w:t>
      </w:r>
      <w:r>
        <w:rPr>
          <w:rFonts w:hint="eastAsia" w:ascii="仿宋_GB2312" w:hAnsi="仿宋_GB2312" w:eastAsia="仿宋_GB2312" w:cs="Times New Roman"/>
          <w:color w:val="auto"/>
          <w:sz w:val="30"/>
          <w:szCs w:val="22"/>
          <w:lang w:val="zh-CN"/>
        </w:rPr>
        <w:t>包括：“科技重大专项”</w:t>
      </w:r>
      <w:r>
        <w:rPr>
          <w:rFonts w:hint="eastAsia" w:ascii="仿宋_GB2312" w:hAnsi="仿宋_GB2312" w:eastAsia="仿宋_GB2312" w:cs="Times New Roman"/>
          <w:color w:val="auto"/>
          <w:sz w:val="30"/>
          <w:szCs w:val="22"/>
          <w:lang/>
        </w:rPr>
        <w:t>244,200元，主要用于：天津市蔬菜质量安全大数据平台建设</w:t>
      </w:r>
      <w:r>
        <w:rPr>
          <w:rFonts w:hint="eastAsia" w:ascii="仿宋_GB2312" w:hAnsi="仿宋_GB2312" w:eastAsia="仿宋_GB2312" w:cs="Times New Roman"/>
          <w:color w:val="auto"/>
          <w:sz w:val="30"/>
          <w:szCs w:val="22"/>
          <w:lang w:val="zh-CN"/>
        </w:rPr>
        <w:t>。</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val="zh-CN"/>
        </w:rPr>
        <w:t>2、“社会保障和就业支出”</w:t>
      </w:r>
      <w:r>
        <w:rPr>
          <w:rFonts w:hint="eastAsia" w:ascii="仿宋_GB2312" w:hAnsi="仿宋_GB2312" w:eastAsia="仿宋_GB2312" w:cs="Times New Roman"/>
          <w:color w:val="auto"/>
          <w:sz w:val="30"/>
          <w:szCs w:val="22"/>
          <w:lang/>
        </w:rPr>
        <w:t>385,200元，其中：</w:t>
      </w:r>
    </w:p>
    <w:p>
      <w:pPr>
        <w:widowControl/>
        <w:spacing w:beforeLines="0" w:afterLines="0" w:line="580" w:lineRule="exact"/>
        <w:ind w:firstLine="600"/>
        <w:jc w:val="left"/>
        <w:rPr>
          <w:rFonts w:hint="eastAsia" w:ascii="仿宋_GB2312" w:hAnsi="仿宋_GB2312" w:eastAsia="仿宋_GB2312" w:cs="Times New Roman"/>
          <w:color w:val="auto"/>
          <w:sz w:val="30"/>
          <w:szCs w:val="22"/>
          <w:lang w:val="zh-CN"/>
        </w:rPr>
      </w:pPr>
      <w:r>
        <w:rPr>
          <w:rFonts w:hint="eastAsia" w:ascii="仿宋_GB2312" w:hAnsi="仿宋_GB2312" w:eastAsia="仿宋_GB2312" w:cs="Times New Roman"/>
          <w:color w:val="auto"/>
          <w:sz w:val="30"/>
          <w:szCs w:val="22"/>
          <w:lang/>
        </w:rPr>
        <w:t xml:space="preserve"> </w:t>
      </w:r>
      <w:r>
        <w:rPr>
          <w:rFonts w:hint="eastAsia" w:ascii="仿宋_GB2312" w:hAnsi="仿宋_GB2312" w:eastAsia="仿宋_GB2312" w:cs="Times New Roman"/>
          <w:color w:val="auto"/>
          <w:sz w:val="30"/>
          <w:szCs w:val="22"/>
          <w:lang w:val="zh-CN"/>
        </w:rPr>
        <w:t xml:space="preserve"> “行政事业单位离退休”</w:t>
      </w:r>
      <w:r>
        <w:rPr>
          <w:rFonts w:hint="eastAsia" w:ascii="仿宋_GB2312" w:hAnsi="仿宋_GB2312" w:eastAsia="仿宋_GB2312" w:cs="Times New Roman"/>
          <w:color w:val="auto"/>
          <w:sz w:val="30"/>
          <w:szCs w:val="22"/>
          <w:lang/>
        </w:rPr>
        <w:t>385,200元，</w:t>
      </w:r>
      <w:r>
        <w:rPr>
          <w:rFonts w:hint="eastAsia" w:ascii="仿宋_GB2312" w:hAnsi="仿宋_GB2312" w:eastAsia="仿宋_GB2312" w:cs="Times New Roman"/>
          <w:color w:val="auto"/>
          <w:sz w:val="30"/>
          <w:szCs w:val="22"/>
          <w:lang w:val="zh-CN"/>
        </w:rPr>
        <w:t>包括：“机关事业单位基本养老保险缴费支出”</w:t>
      </w:r>
      <w:r>
        <w:rPr>
          <w:rFonts w:hint="eastAsia" w:ascii="仿宋_GB2312" w:hAnsi="仿宋_GB2312" w:eastAsia="仿宋_GB2312" w:cs="Times New Roman"/>
          <w:color w:val="auto"/>
          <w:sz w:val="30"/>
          <w:szCs w:val="22"/>
          <w:lang/>
        </w:rPr>
        <w:t>385,200元，主要用于：在职人员机关事业单位基本养老保险缴费支出</w:t>
      </w:r>
      <w:r>
        <w:rPr>
          <w:rFonts w:hint="eastAsia" w:ascii="仿宋_GB2312" w:hAnsi="仿宋_GB2312" w:eastAsia="仿宋_GB2312" w:cs="Times New Roman"/>
          <w:color w:val="auto"/>
          <w:sz w:val="30"/>
          <w:szCs w:val="22"/>
          <w:lang w:val="zh-CN"/>
        </w:rPr>
        <w:t>。</w:t>
      </w:r>
    </w:p>
    <w:p>
      <w:pPr>
        <w:widowControl/>
        <w:spacing w:beforeLines="0" w:afterLines="0" w:line="580" w:lineRule="exact"/>
        <w:ind w:firstLine="600"/>
        <w:jc w:val="left"/>
        <w:rPr>
          <w:rFonts w:hint="eastAsia" w:ascii="仿宋_GB2312" w:hAnsi="仿宋_GB2312" w:eastAsia="仿宋_GB2312" w:cs="Times New Roman"/>
          <w:color w:val="auto"/>
          <w:sz w:val="30"/>
          <w:szCs w:val="22"/>
          <w:lang w:val="zh-CN"/>
        </w:rPr>
      </w:pPr>
      <w:r>
        <w:rPr>
          <w:rFonts w:hint="eastAsia" w:ascii="仿宋_GB2312" w:hAnsi="仿宋_GB2312" w:eastAsia="仿宋_GB2312" w:cs="Times New Roman"/>
          <w:color w:val="auto"/>
          <w:sz w:val="30"/>
          <w:szCs w:val="22"/>
          <w:lang/>
        </w:rPr>
        <w:t>3</w:t>
      </w:r>
      <w:r>
        <w:rPr>
          <w:rFonts w:hint="eastAsia" w:ascii="仿宋_GB2312" w:hAnsi="仿宋_GB2312" w:eastAsia="仿宋_GB2312" w:cs="Times New Roman"/>
          <w:color w:val="auto"/>
          <w:sz w:val="30"/>
          <w:szCs w:val="22"/>
          <w:lang w:val="zh-CN"/>
        </w:rPr>
        <w:t>、“医疗卫生与计划生育支出”</w:t>
      </w:r>
      <w:r>
        <w:rPr>
          <w:rFonts w:hint="eastAsia" w:ascii="仿宋_GB2312" w:hAnsi="仿宋_GB2312" w:eastAsia="仿宋_GB2312" w:cs="Times New Roman"/>
          <w:color w:val="auto"/>
          <w:sz w:val="30"/>
          <w:szCs w:val="22"/>
          <w:lang/>
        </w:rPr>
        <w:t>273,800元，其中：</w:t>
      </w:r>
    </w:p>
    <w:p>
      <w:pPr>
        <w:widowControl/>
        <w:spacing w:beforeLines="0" w:afterLines="0" w:line="580" w:lineRule="exact"/>
        <w:ind w:firstLine="600"/>
        <w:jc w:val="left"/>
        <w:rPr>
          <w:rFonts w:hint="eastAsia" w:ascii="仿宋_GB2312" w:hAnsi="仿宋_GB2312" w:eastAsia="仿宋_GB2312" w:cs="Times New Roman"/>
          <w:color w:val="auto"/>
          <w:sz w:val="30"/>
          <w:szCs w:val="22"/>
          <w:lang w:val="zh-CN"/>
        </w:rPr>
      </w:pPr>
      <w:r>
        <w:rPr>
          <w:rFonts w:hint="eastAsia" w:ascii="仿宋_GB2312" w:hAnsi="仿宋_GB2312" w:eastAsia="仿宋_GB2312" w:cs="Times New Roman"/>
          <w:color w:val="auto"/>
          <w:sz w:val="30"/>
          <w:szCs w:val="22"/>
          <w:lang w:val="zh-CN"/>
        </w:rPr>
        <w:t xml:space="preserve">  “行政事业单位医疗”</w:t>
      </w:r>
      <w:r>
        <w:rPr>
          <w:rFonts w:hint="eastAsia" w:ascii="仿宋_GB2312" w:hAnsi="仿宋_GB2312" w:eastAsia="仿宋_GB2312" w:cs="Times New Roman"/>
          <w:color w:val="auto"/>
          <w:sz w:val="30"/>
          <w:szCs w:val="22"/>
          <w:lang/>
        </w:rPr>
        <w:t>273,800元，</w:t>
      </w:r>
      <w:r>
        <w:rPr>
          <w:rFonts w:hint="eastAsia" w:ascii="仿宋_GB2312" w:hAnsi="仿宋_GB2312" w:eastAsia="仿宋_GB2312" w:cs="Times New Roman"/>
          <w:color w:val="auto"/>
          <w:sz w:val="30"/>
          <w:szCs w:val="22"/>
          <w:lang w:val="zh-CN"/>
        </w:rPr>
        <w:t>包括：“行政单位医疗”</w:t>
      </w:r>
      <w:r>
        <w:rPr>
          <w:rFonts w:hint="eastAsia" w:ascii="仿宋_GB2312" w:hAnsi="仿宋_GB2312" w:eastAsia="仿宋_GB2312" w:cs="Times New Roman"/>
          <w:color w:val="auto"/>
          <w:sz w:val="30"/>
          <w:szCs w:val="22"/>
          <w:lang/>
        </w:rPr>
        <w:t>196,100元，主要用于：在职行政单位医疗</w:t>
      </w:r>
      <w:r>
        <w:rPr>
          <w:rFonts w:hint="eastAsia" w:ascii="仿宋_GB2312" w:hAnsi="仿宋_GB2312" w:eastAsia="仿宋_GB2312" w:cs="Times New Roman"/>
          <w:color w:val="auto"/>
          <w:sz w:val="30"/>
          <w:szCs w:val="22"/>
          <w:lang w:val="zh-CN"/>
        </w:rPr>
        <w:t>。“公务员医疗补助”</w:t>
      </w:r>
      <w:r>
        <w:rPr>
          <w:rFonts w:hint="eastAsia" w:ascii="仿宋_GB2312" w:hAnsi="仿宋_GB2312" w:eastAsia="仿宋_GB2312" w:cs="Times New Roman"/>
          <w:color w:val="auto"/>
          <w:sz w:val="30"/>
          <w:szCs w:val="22"/>
          <w:lang/>
        </w:rPr>
        <w:t>77,700元，主要用于：在职公务员医疗补助</w:t>
      </w:r>
      <w:r>
        <w:rPr>
          <w:rFonts w:hint="eastAsia" w:ascii="仿宋_GB2312" w:hAnsi="仿宋_GB2312" w:eastAsia="仿宋_GB2312" w:cs="Times New Roman"/>
          <w:color w:val="auto"/>
          <w:sz w:val="30"/>
          <w:szCs w:val="22"/>
          <w:lang w:val="zh-CN"/>
        </w:rPr>
        <w:t>。</w:t>
      </w:r>
    </w:p>
    <w:p>
      <w:pPr>
        <w:widowControl/>
        <w:spacing w:beforeLines="0" w:afterLines="0" w:line="580" w:lineRule="exact"/>
        <w:ind w:firstLine="600"/>
        <w:jc w:val="left"/>
        <w:rPr>
          <w:rFonts w:hint="eastAsia" w:ascii="仿宋_GB2312" w:hAnsi="仿宋_GB2312" w:eastAsia="仿宋_GB2312" w:cs="Times New Roman"/>
          <w:color w:val="auto"/>
          <w:sz w:val="30"/>
          <w:szCs w:val="22"/>
          <w:lang/>
        </w:rPr>
      </w:pPr>
      <w:r>
        <w:rPr>
          <w:rFonts w:hint="eastAsia" w:ascii="仿宋_GB2312" w:hAnsi="仿宋_GB2312" w:eastAsia="仿宋_GB2312" w:cs="Times New Roman"/>
          <w:color w:val="auto"/>
          <w:sz w:val="30"/>
          <w:szCs w:val="22"/>
          <w:lang/>
        </w:rPr>
        <w:t>4、“农林水支出”10,247,022.24元，其中：</w:t>
      </w:r>
    </w:p>
    <w:p>
      <w:pPr>
        <w:widowControl/>
        <w:spacing w:beforeLines="0" w:afterLines="0" w:line="580" w:lineRule="exact"/>
        <w:ind w:firstLine="600"/>
        <w:jc w:val="left"/>
        <w:rPr>
          <w:rFonts w:ascii="仿宋_GB2312" w:hAnsi="Times New Roman" w:eastAsia="仿宋_GB2312"/>
          <w:color w:val="000000" w:themeColor="text1"/>
          <w:spacing w:val="-6"/>
          <w:sz w:val="32"/>
          <w:szCs w:val="32"/>
          <w:lang w:val="zh-CN"/>
        </w:rPr>
      </w:pPr>
      <w:r>
        <w:rPr>
          <w:rFonts w:hint="eastAsia" w:ascii="仿宋_GB2312" w:hAnsi="仿宋_GB2312" w:eastAsia="仿宋_GB2312" w:cs="Times New Roman"/>
          <w:color w:val="auto"/>
          <w:sz w:val="30"/>
          <w:szCs w:val="22"/>
          <w:lang/>
        </w:rPr>
        <w:t xml:space="preserve"> “农业”10,247,022.24元，</w:t>
      </w:r>
      <w:r>
        <w:rPr>
          <w:rFonts w:hint="eastAsia" w:ascii="仿宋_GB2312" w:hAnsi="仿宋_GB2312" w:eastAsia="仿宋_GB2312" w:cs="Times New Roman"/>
          <w:color w:val="auto"/>
          <w:sz w:val="30"/>
          <w:szCs w:val="22"/>
          <w:lang w:val="zh-CN"/>
        </w:rPr>
        <w:t>包括：“行政运行”</w:t>
      </w:r>
      <w:r>
        <w:rPr>
          <w:rFonts w:hint="eastAsia" w:ascii="仿宋_GB2312" w:hAnsi="仿宋_GB2312" w:eastAsia="仿宋_GB2312" w:cs="Times New Roman"/>
          <w:color w:val="auto"/>
          <w:sz w:val="30"/>
          <w:szCs w:val="22"/>
          <w:lang/>
        </w:rPr>
        <w:t>4,225,866.24元，主要用于：本单位人员和公用基本支出</w:t>
      </w:r>
      <w:r>
        <w:rPr>
          <w:rFonts w:hint="eastAsia" w:ascii="仿宋_GB2312" w:hAnsi="仿宋_GB2312" w:eastAsia="仿宋_GB2312" w:cs="Times New Roman"/>
          <w:color w:val="auto"/>
          <w:sz w:val="30"/>
          <w:szCs w:val="22"/>
          <w:lang w:val="zh-CN"/>
        </w:rPr>
        <w:t>。“事业运行”</w:t>
      </w:r>
      <w:r>
        <w:rPr>
          <w:rFonts w:hint="eastAsia" w:ascii="仿宋_GB2312" w:hAnsi="仿宋_GB2312" w:eastAsia="仿宋_GB2312" w:cs="Times New Roman"/>
          <w:color w:val="auto"/>
          <w:sz w:val="30"/>
          <w:szCs w:val="22"/>
          <w:lang/>
        </w:rPr>
        <w:t>51,000元，主要用于：新增人员经费</w:t>
      </w:r>
      <w:r>
        <w:rPr>
          <w:rFonts w:hint="eastAsia" w:ascii="仿宋_GB2312" w:hAnsi="仿宋_GB2312" w:eastAsia="仿宋_GB2312" w:cs="Times New Roman"/>
          <w:color w:val="auto"/>
          <w:sz w:val="30"/>
          <w:szCs w:val="22"/>
          <w:lang w:val="zh-CN"/>
        </w:rPr>
        <w:t>。“科技转化与推广服务”</w:t>
      </w:r>
      <w:r>
        <w:rPr>
          <w:rFonts w:hint="eastAsia" w:ascii="仿宋_GB2312" w:hAnsi="仿宋_GB2312" w:eastAsia="仿宋_GB2312" w:cs="Times New Roman"/>
          <w:color w:val="auto"/>
          <w:sz w:val="30"/>
          <w:szCs w:val="22"/>
          <w:lang/>
        </w:rPr>
        <w:t>3,000元，主要用于：青年科技人才大数据驱动的放心菜基地效益分析模型研究</w:t>
      </w:r>
      <w:r>
        <w:rPr>
          <w:rFonts w:hint="eastAsia" w:ascii="仿宋_GB2312" w:hAnsi="仿宋_GB2312" w:eastAsia="仿宋_GB2312" w:cs="Times New Roman"/>
          <w:color w:val="auto"/>
          <w:sz w:val="30"/>
          <w:szCs w:val="22"/>
          <w:lang w:val="zh-CN"/>
        </w:rPr>
        <w:t>。“农产品质量安全”</w:t>
      </w:r>
      <w:r>
        <w:rPr>
          <w:rFonts w:hint="eastAsia" w:ascii="仿宋_GB2312" w:hAnsi="仿宋_GB2312" w:eastAsia="仿宋_GB2312" w:cs="Times New Roman"/>
          <w:color w:val="auto"/>
          <w:sz w:val="30"/>
          <w:szCs w:val="22"/>
          <w:lang/>
        </w:rPr>
        <w:t>5,967,156元，主要用于：委托第三方机构开展农产品质量安全监管抽样检测、组织各区开展农残速测检测，开展地理标志登记保护产品宣传推介等</w:t>
      </w:r>
      <w:r>
        <w:rPr>
          <w:rFonts w:hint="eastAsia" w:ascii="仿宋_GB2312" w:hAnsi="仿宋_GB2312" w:eastAsia="仿宋_GB2312" w:cs="Times New Roman"/>
          <w:color w:val="auto"/>
          <w:sz w:val="30"/>
          <w:szCs w:val="22"/>
          <w:lang w:val="zh-CN"/>
        </w:rPr>
        <w:t>。</w:t>
      </w:r>
    </w:p>
    <w:p>
      <w:pPr>
        <w:autoSpaceDE w:val="0"/>
        <w:autoSpaceDN w:val="0"/>
        <w:adjustRightInd w:val="0"/>
        <w:spacing w:line="580" w:lineRule="exact"/>
        <w:ind w:firstLine="600"/>
        <w:jc w:val="left"/>
        <w:rPr>
          <w:rFonts w:ascii="楷体_GB2312" w:hAnsi="Times New Roman" w:eastAsia="楷体_GB2312"/>
          <w:b/>
          <w:sz w:val="30"/>
          <w:szCs w:val="24"/>
        </w:rPr>
      </w:pPr>
      <w:r>
        <w:rPr>
          <w:rFonts w:ascii="仿宋_GB2312" w:hAnsi="Times New Roman" w:eastAsia="仿宋_GB2312"/>
          <w:sz w:val="30"/>
          <w:szCs w:val="24"/>
        </w:rPr>
        <w:t xml:space="preserve">  </w:t>
      </w:r>
      <w:r>
        <w:rPr>
          <w:rFonts w:hint="eastAsia" w:ascii="楷体_GB2312" w:hAnsi="Times New Roman" w:eastAsia="楷体_GB2312"/>
          <w:b/>
          <w:sz w:val="30"/>
          <w:szCs w:val="24"/>
        </w:rPr>
        <w:t>四、</w:t>
      </w:r>
      <w:r>
        <w:rPr>
          <w:rFonts w:ascii="楷体_GB2312" w:hAnsi="Times New Roman" w:eastAsia="楷体_GB2312"/>
          <w:b/>
          <w:sz w:val="30"/>
          <w:szCs w:val="24"/>
        </w:rPr>
        <w:t>2018</w:t>
      </w:r>
      <w:r>
        <w:rPr>
          <w:rFonts w:hint="eastAsia" w:ascii="楷体_GB2312" w:hAnsi="Times New Roman" w:eastAsia="楷体_GB2312"/>
          <w:b/>
          <w:sz w:val="30"/>
          <w:szCs w:val="24"/>
        </w:rPr>
        <w:t>年度部门决算一般公共预算财政拨款基本支出情况</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天津市无公害农产品（种植业）管理中心2018年度部门决算一般公共预算财政拨款基本支出总计4,935,866.24元，与2017年决算相比增加1,334,012.73元，具体情况如下：</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1、“工资福利支出”4,493,055元，其中：“基本工资”726,309元，</w:t>
      </w:r>
      <w:r>
        <w:rPr>
          <w:rFonts w:hint="eastAsia" w:ascii="仿宋_GB2312" w:hAnsi="仿宋_GB2312" w:eastAsia="仿宋_GB2312" w:cs="Times New Roman"/>
          <w:color w:val="auto"/>
          <w:sz w:val="30"/>
          <w:szCs w:val="22"/>
          <w:lang w:val="zh-CN"/>
        </w:rPr>
        <w:t>“津贴补贴”</w:t>
      </w:r>
      <w:r>
        <w:rPr>
          <w:rFonts w:hint="eastAsia" w:ascii="仿宋_GB2312" w:hAnsi="仿宋_GB2312" w:eastAsia="仿宋_GB2312" w:cs="Times New Roman"/>
          <w:color w:val="auto"/>
          <w:sz w:val="30"/>
          <w:szCs w:val="22"/>
        </w:rPr>
        <w:t>1,428,654元，“奖金”39,637元，“绩效工资”266,566元，“机关事业单位基本养老保险费”407,105.8元，“职工基本医疗保险缴费”196,100元，“公务员医疗补助缴费”77,700元，“其他社会保障缴费”</w:t>
      </w:r>
      <w:r>
        <w:rPr>
          <w:rFonts w:hint="eastAsia" w:ascii="仿宋_GB2312" w:hAnsi="仿宋_GB2312" w:eastAsia="仿宋_GB2312" w:cs="Times New Roman"/>
          <w:color w:val="auto"/>
          <w:sz w:val="30"/>
          <w:szCs w:val="22"/>
          <w:lang w:val="zh-CN"/>
        </w:rPr>
        <w:t>12,776.09</w:t>
      </w:r>
      <w:r>
        <w:rPr>
          <w:rFonts w:hint="eastAsia" w:ascii="仿宋_GB2312" w:hAnsi="仿宋_GB2312" w:eastAsia="仿宋_GB2312" w:cs="Times New Roman"/>
          <w:color w:val="auto"/>
          <w:sz w:val="30"/>
          <w:szCs w:val="22"/>
        </w:rPr>
        <w:t>元，“住房公积金”1,051,286.11元</w:t>
      </w:r>
      <w:r>
        <w:rPr>
          <w:rFonts w:hint="eastAsia" w:ascii="仿宋_GB2312" w:hAnsi="仿宋_GB2312" w:eastAsia="仿宋_GB2312" w:cs="Times New Roman"/>
          <w:color w:val="auto"/>
          <w:sz w:val="30"/>
          <w:szCs w:val="22"/>
          <w:lang w:val="zh-CN"/>
        </w:rPr>
        <w:t>，“其他工资福利支出”286,921</w:t>
      </w:r>
      <w:r>
        <w:rPr>
          <w:rFonts w:hint="eastAsia" w:ascii="仿宋_GB2312" w:hAnsi="仿宋_GB2312" w:eastAsia="仿宋_GB2312" w:cs="Times New Roman"/>
          <w:color w:val="auto"/>
          <w:sz w:val="30"/>
          <w:szCs w:val="22"/>
        </w:rPr>
        <w:t>元</w:t>
      </w:r>
      <w:r>
        <w:rPr>
          <w:rFonts w:hint="eastAsia" w:ascii="仿宋_GB2312" w:hAnsi="仿宋_GB2312" w:eastAsia="仿宋_GB2312" w:cs="Times New Roman"/>
          <w:color w:val="auto"/>
          <w:sz w:val="30"/>
          <w:szCs w:val="22"/>
          <w:lang w:val="zh-CN"/>
        </w:rPr>
        <w:t>，</w:t>
      </w:r>
      <w:r>
        <w:rPr>
          <w:rFonts w:hint="eastAsia" w:ascii="仿宋_GB2312" w:hAnsi="仿宋_GB2312" w:eastAsia="仿宋_GB2312" w:cs="Times New Roman"/>
          <w:color w:val="auto"/>
          <w:sz w:val="30"/>
          <w:szCs w:val="22"/>
        </w:rPr>
        <w:t>主要用于职工防暑降温费、未休假补贴等。</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2、</w:t>
      </w:r>
      <w:r>
        <w:rPr>
          <w:rFonts w:hint="eastAsia" w:ascii="仿宋_GB2312" w:hAnsi="仿宋_GB2312" w:eastAsia="仿宋_GB2312" w:cs="Times New Roman"/>
          <w:color w:val="auto"/>
          <w:sz w:val="30"/>
          <w:szCs w:val="22"/>
          <w:lang w:val="zh-CN"/>
        </w:rPr>
        <w:t>“对个人和家庭的补助”545元，其中： “奖励金”545元，主要用于</w:t>
      </w:r>
      <w:r>
        <w:rPr>
          <w:rFonts w:hint="eastAsia" w:ascii="仿宋_GB2312" w:hAnsi="仿宋_GB2312" w:eastAsia="仿宋_GB2312" w:cs="Times New Roman"/>
          <w:color w:val="auto"/>
          <w:sz w:val="30"/>
          <w:szCs w:val="22"/>
        </w:rPr>
        <w:t>：独子费补贴。</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3、</w:t>
      </w:r>
      <w:r>
        <w:rPr>
          <w:rFonts w:hint="eastAsia" w:ascii="仿宋_GB2312" w:hAnsi="仿宋_GB2312" w:eastAsia="仿宋_GB2312" w:cs="Times New Roman"/>
          <w:color w:val="auto"/>
          <w:sz w:val="30"/>
          <w:szCs w:val="22"/>
          <w:lang w:val="zh-CN"/>
        </w:rPr>
        <w:t>“商品和服务支出”429,156.24元，其中：“办公费”32,720.7元，“手续费”2,940元，“水费”3,040.25元，“邮电费”8,228.39元，“差旅费”28,796.5元，“培训费”1,800元，“专用材料费”1,270元，“劳务费”60,964.02元，“委托业务费”5,920元，“工会经费”22,000元，“福利费”59,049.48元，“公务用车运行维护费”8,093.9元，“其他交通费用”168,503元，“税金及附加费用”25,830元。</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4、</w:t>
      </w:r>
      <w:r>
        <w:rPr>
          <w:rFonts w:hint="eastAsia" w:ascii="仿宋_GB2312" w:hAnsi="仿宋_GB2312" w:eastAsia="仿宋_GB2312" w:cs="Times New Roman"/>
          <w:color w:val="auto"/>
          <w:sz w:val="30"/>
          <w:szCs w:val="22"/>
          <w:lang w:val="zh-CN"/>
        </w:rPr>
        <w:t>“资本性支出”13,110元，“办公设备购置”13,110元，主要用于</w:t>
      </w:r>
      <w:r>
        <w:rPr>
          <w:rFonts w:hint="eastAsia" w:ascii="仿宋_GB2312" w:hAnsi="仿宋_GB2312" w:eastAsia="仿宋_GB2312" w:cs="Times New Roman"/>
          <w:color w:val="auto"/>
          <w:sz w:val="30"/>
          <w:szCs w:val="22"/>
        </w:rPr>
        <w:t>：购置空调三台，打印机一台。</w:t>
      </w:r>
    </w:p>
    <w:p>
      <w:pPr>
        <w:autoSpaceDE w:val="0"/>
        <w:autoSpaceDN w:val="0"/>
        <w:adjustRightInd w:val="0"/>
        <w:spacing w:line="580" w:lineRule="exact"/>
        <w:ind w:firstLine="600"/>
        <w:jc w:val="left"/>
        <w:rPr>
          <w:rFonts w:ascii="楷体_GB2312" w:hAnsi="Times New Roman" w:eastAsia="楷体_GB2312"/>
          <w:b/>
          <w:sz w:val="30"/>
          <w:szCs w:val="24"/>
        </w:rPr>
      </w:pPr>
      <w:r>
        <w:rPr>
          <w:rFonts w:hint="eastAsia" w:ascii="楷体_GB2312" w:hAnsi="Times New Roman" w:eastAsia="楷体_GB2312"/>
          <w:b/>
          <w:sz w:val="30"/>
          <w:szCs w:val="24"/>
        </w:rPr>
        <w:t>五、</w:t>
      </w:r>
      <w:r>
        <w:rPr>
          <w:rFonts w:ascii="楷体_GB2312" w:hAnsi="Times New Roman" w:eastAsia="楷体_GB2312"/>
          <w:b/>
          <w:sz w:val="30"/>
          <w:szCs w:val="24"/>
        </w:rPr>
        <w:t>2018</w:t>
      </w:r>
      <w:r>
        <w:rPr>
          <w:rFonts w:hint="eastAsia" w:ascii="楷体_GB2312" w:hAnsi="Times New Roman" w:eastAsia="楷体_GB2312"/>
          <w:b/>
          <w:sz w:val="30"/>
          <w:szCs w:val="24"/>
        </w:rPr>
        <w:t>年度机关运行经费决算数</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机关运行经费是指行政单位和参照公务员法管理的事业单位使用一般公共预算财政拨款安排的基本支出中的日常公用经费支出，天津市无公害农产品（种植业）管理中心2018年度机关运行经费决算数442,266.24元，比2017年减少241,587.27元，降低35%。主要原因是：缩减公用费用。</w:t>
      </w:r>
    </w:p>
    <w:p>
      <w:pPr>
        <w:autoSpaceDE w:val="0"/>
        <w:autoSpaceDN w:val="0"/>
        <w:adjustRightInd w:val="0"/>
        <w:spacing w:line="580" w:lineRule="exact"/>
        <w:ind w:firstLine="602"/>
        <w:jc w:val="left"/>
        <w:rPr>
          <w:rFonts w:ascii="楷体_GB2312" w:hAnsi="Times New Roman" w:eastAsia="楷体_GB2312"/>
          <w:b/>
          <w:sz w:val="30"/>
          <w:szCs w:val="24"/>
        </w:rPr>
      </w:pPr>
      <w:r>
        <w:rPr>
          <w:rFonts w:hint="eastAsia" w:ascii="楷体_GB2312" w:hAnsi="Times New Roman" w:eastAsia="楷体_GB2312"/>
          <w:b/>
          <w:sz w:val="30"/>
          <w:szCs w:val="24"/>
        </w:rPr>
        <w:t>六、</w:t>
      </w:r>
      <w:r>
        <w:rPr>
          <w:rFonts w:ascii="楷体_GB2312" w:hAnsi="Times New Roman" w:eastAsia="楷体_GB2312"/>
          <w:b/>
          <w:sz w:val="30"/>
          <w:szCs w:val="24"/>
        </w:rPr>
        <w:t>2018</w:t>
      </w:r>
      <w:r>
        <w:rPr>
          <w:rFonts w:hint="eastAsia" w:ascii="楷体_GB2312" w:hAnsi="Times New Roman" w:eastAsia="楷体_GB2312"/>
          <w:b/>
          <w:sz w:val="30"/>
          <w:szCs w:val="24"/>
        </w:rPr>
        <w:t>年度部门决算政府性基金预算财政拨款收入支出情况</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天津市无公害农产品（种植业）管理中心2018年度无政府性基金预算财政拨款收入、支出和结转结余。</w:t>
      </w:r>
    </w:p>
    <w:p>
      <w:pPr>
        <w:autoSpaceDE w:val="0"/>
        <w:autoSpaceDN w:val="0"/>
        <w:adjustRightInd w:val="0"/>
        <w:spacing w:line="580" w:lineRule="exact"/>
        <w:ind w:firstLine="602"/>
        <w:jc w:val="left"/>
        <w:rPr>
          <w:rFonts w:ascii="楷体_GB2312" w:hAnsi="Times New Roman" w:eastAsia="楷体_GB2312"/>
          <w:sz w:val="24"/>
          <w:szCs w:val="24"/>
        </w:rPr>
      </w:pPr>
      <w:r>
        <w:rPr>
          <w:rFonts w:hint="eastAsia" w:ascii="楷体_GB2312" w:hAnsi="Times New Roman" w:eastAsia="楷体_GB2312"/>
          <w:b/>
          <w:color w:val="000000"/>
          <w:sz w:val="30"/>
          <w:szCs w:val="24"/>
        </w:rPr>
        <w:t>七、</w:t>
      </w:r>
      <w:r>
        <w:rPr>
          <w:rFonts w:ascii="楷体_GB2312" w:hAnsi="Times New Roman" w:eastAsia="楷体_GB2312"/>
          <w:b/>
          <w:sz w:val="30"/>
          <w:szCs w:val="24"/>
        </w:rPr>
        <w:t>2018</w:t>
      </w:r>
      <w:r>
        <w:rPr>
          <w:rFonts w:hint="eastAsia" w:ascii="楷体_GB2312" w:hAnsi="Times New Roman" w:eastAsia="楷体_GB2312"/>
          <w:b/>
          <w:sz w:val="30"/>
          <w:szCs w:val="24"/>
        </w:rPr>
        <w:t>年度</w:t>
      </w:r>
      <w:r>
        <w:rPr>
          <w:rFonts w:hint="eastAsia" w:ascii="楷体_GB2312" w:hAnsi="Times New Roman" w:eastAsia="楷体_GB2312"/>
          <w:b/>
          <w:color w:val="000000"/>
          <w:sz w:val="30"/>
          <w:szCs w:val="24"/>
        </w:rPr>
        <w:t>政府采购情况</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天津市无公害农产品（种植业）管理中心2018年政府采购支出总额3,373,105元，其中：政府采购货物支出16,305元、政府采购服务支出3,356,800元。</w:t>
      </w:r>
    </w:p>
    <w:p>
      <w:pPr>
        <w:autoSpaceDE w:val="0"/>
        <w:autoSpaceDN w:val="0"/>
        <w:adjustRightInd w:val="0"/>
        <w:spacing w:line="580" w:lineRule="exact"/>
        <w:ind w:firstLine="602"/>
        <w:jc w:val="left"/>
        <w:rPr>
          <w:rFonts w:ascii="楷体_GB2312" w:hAnsi="Times New Roman" w:eastAsia="楷体_GB2312"/>
          <w:sz w:val="24"/>
          <w:szCs w:val="24"/>
        </w:rPr>
      </w:pPr>
      <w:r>
        <w:rPr>
          <w:rFonts w:hint="eastAsia" w:ascii="楷体_GB2312" w:hAnsi="Times New Roman" w:eastAsia="楷体_GB2312"/>
          <w:b/>
          <w:color w:val="000000"/>
          <w:sz w:val="30"/>
          <w:szCs w:val="24"/>
        </w:rPr>
        <w:t>八、</w:t>
      </w:r>
      <w:r>
        <w:rPr>
          <w:rFonts w:ascii="楷体_GB2312" w:hAnsi="Times New Roman" w:eastAsia="楷体_GB2312"/>
          <w:b/>
          <w:sz w:val="30"/>
          <w:szCs w:val="24"/>
        </w:rPr>
        <w:t>2018</w:t>
      </w:r>
      <w:r>
        <w:rPr>
          <w:rFonts w:hint="eastAsia" w:ascii="楷体_GB2312" w:hAnsi="Times New Roman" w:eastAsia="楷体_GB2312"/>
          <w:b/>
          <w:sz w:val="30"/>
          <w:szCs w:val="24"/>
        </w:rPr>
        <w:t>年度</w:t>
      </w:r>
      <w:r>
        <w:rPr>
          <w:rFonts w:hint="eastAsia" w:ascii="楷体_GB2312" w:hAnsi="Times New Roman" w:eastAsia="楷体_GB2312"/>
          <w:b/>
          <w:color w:val="000000"/>
          <w:sz w:val="30"/>
          <w:szCs w:val="24"/>
        </w:rPr>
        <w:t>预算绩效情况</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天津市无公害农产品（种植业）管理中心2018年度无实行预算绩效管理的项目。</w:t>
      </w:r>
    </w:p>
    <w:p>
      <w:pPr>
        <w:autoSpaceDE w:val="0"/>
        <w:autoSpaceDN w:val="0"/>
        <w:adjustRightInd w:val="0"/>
        <w:spacing w:line="580" w:lineRule="exact"/>
        <w:ind w:firstLine="602"/>
        <w:jc w:val="left"/>
        <w:rPr>
          <w:rFonts w:ascii="楷体_GB2312" w:hAnsi="Times New Roman" w:eastAsia="楷体_GB2312"/>
          <w:sz w:val="24"/>
          <w:szCs w:val="24"/>
        </w:rPr>
      </w:pPr>
      <w:r>
        <w:rPr>
          <w:rFonts w:hint="eastAsia" w:ascii="楷体_GB2312" w:hAnsi="Times New Roman" w:eastAsia="楷体_GB2312"/>
          <w:b/>
          <w:color w:val="000000"/>
          <w:sz w:val="30"/>
          <w:szCs w:val="24"/>
        </w:rPr>
        <w:t>九、</w:t>
      </w:r>
      <w:r>
        <w:rPr>
          <w:rFonts w:ascii="楷体_GB2312" w:hAnsi="Times New Roman" w:eastAsia="楷体_GB2312"/>
          <w:b/>
          <w:sz w:val="30"/>
          <w:szCs w:val="24"/>
        </w:rPr>
        <w:t>2018</w:t>
      </w:r>
      <w:r>
        <w:rPr>
          <w:rFonts w:hint="eastAsia" w:ascii="楷体_GB2312" w:hAnsi="Times New Roman" w:eastAsia="楷体_GB2312"/>
          <w:b/>
          <w:sz w:val="30"/>
          <w:szCs w:val="24"/>
        </w:rPr>
        <w:t>年度</w:t>
      </w:r>
      <w:r>
        <w:rPr>
          <w:rFonts w:hint="eastAsia" w:ascii="楷体_GB2312" w:hAnsi="Times New Roman" w:eastAsia="楷体_GB2312"/>
          <w:b/>
          <w:color w:val="000000"/>
          <w:sz w:val="30"/>
          <w:szCs w:val="24"/>
        </w:rPr>
        <w:t>国有资产占有使用情况</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截至2018年12月31日，天津市无公害农产品（种植业）管理中心共有车辆1辆，其中：执法执勤用车1辆。</w:t>
      </w:r>
    </w:p>
    <w:p>
      <w:pPr>
        <w:autoSpaceDE w:val="0"/>
        <w:autoSpaceDN w:val="0"/>
        <w:adjustRightInd w:val="0"/>
        <w:spacing w:line="580" w:lineRule="exact"/>
        <w:ind w:firstLine="602"/>
        <w:jc w:val="left"/>
        <w:rPr>
          <w:rFonts w:ascii="楷体_GB2312" w:hAnsi="Times New Roman" w:eastAsia="楷体_GB2312"/>
          <w:b/>
          <w:sz w:val="30"/>
          <w:szCs w:val="24"/>
        </w:rPr>
      </w:pPr>
      <w:r>
        <w:rPr>
          <w:rFonts w:hint="eastAsia" w:ascii="楷体_GB2312" w:hAnsi="Times New Roman" w:eastAsia="楷体_GB2312"/>
          <w:b/>
          <w:sz w:val="30"/>
          <w:szCs w:val="24"/>
        </w:rPr>
        <w:t>十、</w:t>
      </w:r>
      <w:r>
        <w:rPr>
          <w:rFonts w:ascii="楷体_GB2312" w:hAnsi="Times New Roman" w:eastAsia="楷体_GB2312"/>
          <w:b/>
          <w:sz w:val="30"/>
          <w:szCs w:val="24"/>
        </w:rPr>
        <w:t>2018</w:t>
      </w:r>
      <w:r>
        <w:rPr>
          <w:rFonts w:hint="eastAsia" w:ascii="楷体_GB2312" w:hAnsi="Times New Roman" w:eastAsia="楷体_GB2312"/>
          <w:b/>
          <w:sz w:val="30"/>
          <w:szCs w:val="24"/>
        </w:rPr>
        <w:t>年度教育、医疗卫生、社会保障和就业、住房保障、涉农补贴等民生支出情况</w:t>
      </w: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天津市无公害农产品（种植业）管理中心2018年度无教育、医疗卫生、社会保障和就业、住房保障、涉农补贴等民生支出情况。</w:t>
      </w:r>
    </w:p>
    <w:p>
      <w:pPr>
        <w:autoSpaceDE w:val="0"/>
        <w:autoSpaceDN w:val="0"/>
        <w:adjustRightInd w:val="0"/>
        <w:spacing w:line="580" w:lineRule="exact"/>
        <w:jc w:val="center"/>
        <w:rPr>
          <w:rFonts w:ascii="隶书" w:hAnsi="Times New Roman" w:eastAsia="隶书"/>
          <w:sz w:val="30"/>
          <w:szCs w:val="24"/>
        </w:rPr>
      </w:pPr>
    </w:p>
    <w:p>
      <w:pPr>
        <w:autoSpaceDE w:val="0"/>
        <w:autoSpaceDN w:val="0"/>
        <w:adjustRightInd w:val="0"/>
        <w:spacing w:line="580" w:lineRule="exact"/>
        <w:jc w:val="center"/>
        <w:rPr>
          <w:rFonts w:ascii="黑体" w:hAnsi="Times New Roman" w:eastAsia="黑体"/>
          <w:sz w:val="30"/>
          <w:szCs w:val="24"/>
        </w:rPr>
      </w:pPr>
      <w:r>
        <w:rPr>
          <w:rFonts w:hint="eastAsia" w:ascii="黑体" w:hAnsi="Times New Roman" w:eastAsia="黑体"/>
          <w:sz w:val="30"/>
          <w:szCs w:val="24"/>
        </w:rPr>
        <w:t>第三部分</w:t>
      </w:r>
      <w:r>
        <w:rPr>
          <w:rFonts w:ascii="黑体" w:hAnsi="Times New Roman" w:eastAsia="黑体"/>
          <w:sz w:val="30"/>
          <w:szCs w:val="24"/>
        </w:rPr>
        <w:t xml:space="preserve">  </w:t>
      </w:r>
      <w:r>
        <w:rPr>
          <w:rFonts w:hint="eastAsia" w:ascii="黑体" w:hAnsi="Times New Roman" w:eastAsia="黑体"/>
          <w:sz w:val="30"/>
          <w:szCs w:val="24"/>
        </w:rPr>
        <w:t>专业名词解释</w:t>
      </w:r>
    </w:p>
    <w:p>
      <w:pPr>
        <w:autoSpaceDE w:val="0"/>
        <w:autoSpaceDN w:val="0"/>
        <w:adjustRightInd w:val="0"/>
        <w:spacing w:line="580" w:lineRule="exact"/>
        <w:ind w:firstLine="600"/>
        <w:jc w:val="left"/>
        <w:rPr>
          <w:rFonts w:ascii="仿宋_GB2312" w:hAnsi="Times New Roman" w:eastAsia="仿宋_GB2312"/>
          <w:sz w:val="30"/>
          <w:szCs w:val="24"/>
        </w:rPr>
      </w:pPr>
    </w:p>
    <w:p>
      <w:pPr>
        <w:widowControl/>
        <w:spacing w:beforeLines="0" w:afterLines="0" w:line="580" w:lineRule="exact"/>
        <w:ind w:firstLine="600"/>
        <w:jc w:val="left"/>
        <w:rPr>
          <w:rFonts w:hint="eastAsia" w:ascii="仿宋_GB2312" w:hAnsi="仿宋_GB2312" w:eastAsia="仿宋_GB2312" w:cs="Times New Roman"/>
          <w:color w:val="auto"/>
          <w:sz w:val="30"/>
          <w:szCs w:val="22"/>
        </w:rPr>
      </w:pPr>
      <w:r>
        <w:rPr>
          <w:rFonts w:hint="eastAsia" w:ascii="仿宋_GB2312" w:hAnsi="仿宋_GB2312" w:eastAsia="仿宋_GB2312" w:cs="Times New Roman"/>
          <w:color w:val="auto"/>
          <w:sz w:val="30"/>
          <w:szCs w:val="22"/>
        </w:rPr>
        <w:t>部门决算。是指行政事业单位在年度终了，根据财政部门决算编审要求，在日常会计核算的基础上编制的、综合反映本单位预算执行结果和财务状况的总结性文件。</w:t>
      </w:r>
      <w:bookmarkStart w:id="0" w:name="_GoBack"/>
      <w:bookmarkEnd w:id="0"/>
    </w:p>
    <w:p>
      <w:pPr>
        <w:autoSpaceDE w:val="0"/>
        <w:autoSpaceDN w:val="0"/>
        <w:adjustRightInd w:val="0"/>
        <w:jc w:val="left"/>
        <w:rPr>
          <w:rFonts w:ascii="Times New Roman" w:eastAsia="Times New Roman"/>
          <w:sz w:val="32"/>
          <w:szCs w:val="32"/>
          <w:lang w:val="zh-CN"/>
        </w:rPr>
      </w:pPr>
    </w:p>
    <w:sectPr>
      <w:head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eastAsia="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D382F"/>
    <w:rsid w:val="000274D8"/>
    <w:rsid w:val="00080620"/>
    <w:rsid w:val="000C61C1"/>
    <w:rsid w:val="00140FF6"/>
    <w:rsid w:val="003A1A2D"/>
    <w:rsid w:val="003F7A05"/>
    <w:rsid w:val="0050112E"/>
    <w:rsid w:val="00645B90"/>
    <w:rsid w:val="00783C29"/>
    <w:rsid w:val="007A4B83"/>
    <w:rsid w:val="009743D3"/>
    <w:rsid w:val="00AA741B"/>
    <w:rsid w:val="00CD5067"/>
    <w:rsid w:val="00D07E61"/>
    <w:rsid w:val="00DD382F"/>
    <w:rsid w:val="00DE5E27"/>
    <w:rsid w:val="00E06AA4"/>
    <w:rsid w:val="00F06362"/>
    <w:rsid w:val="18E03146"/>
    <w:rsid w:val="78E3218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3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24"/>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24"/>
    </w:rPr>
  </w:style>
  <w:style w:type="character" w:customStyle="1" w:styleId="6">
    <w:name w:val="页脚 Char1"/>
    <w:basedOn w:val="5"/>
    <w:link w:val="2"/>
    <w:semiHidden/>
    <w:uiPriority w:val="99"/>
    <w:rPr>
      <w:rFonts w:ascii="Calibri" w:hAnsi="Calibri" w:cs="Times New Roman"/>
      <w:sz w:val="18"/>
      <w:szCs w:val="18"/>
    </w:rPr>
  </w:style>
  <w:style w:type="character" w:customStyle="1" w:styleId="7">
    <w:name w:val="页眉 Char1"/>
    <w:basedOn w:val="5"/>
    <w:link w:val="3"/>
    <w:semiHidden/>
    <w:qFormat/>
    <w:uiPriority w:val="99"/>
    <w:rPr>
      <w:rFonts w:ascii="Calibri" w:hAnsi="Calibri" w:cs="Times New Roman"/>
      <w:sz w:val="18"/>
      <w:szCs w:val="18"/>
    </w:rPr>
  </w:style>
  <w:style w:type="character" w:customStyle="1" w:styleId="8">
    <w:name w:val="页眉 Char"/>
    <w:basedOn w:val="5"/>
    <w:link w:val="3"/>
    <w:semiHidden/>
    <w:qFormat/>
    <w:locked/>
    <w:uiPriority w:val="99"/>
    <w:rPr>
      <w:rFonts w:ascii="Calibri" w:hAnsi="Calibri" w:cs="Times New Roman"/>
      <w:sz w:val="18"/>
      <w:szCs w:val="18"/>
    </w:rPr>
  </w:style>
  <w:style w:type="character" w:customStyle="1" w:styleId="9">
    <w:name w:val="页脚 Char"/>
    <w:basedOn w:val="5"/>
    <w:link w:val="2"/>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1944</Words>
  <Characters>683</Characters>
  <Lines>5</Lines>
  <Paragraphs>5</Paragraphs>
  <TotalTime>23</TotalTime>
  <ScaleCrop>false</ScaleCrop>
  <LinksUpToDate>false</LinksUpToDate>
  <CharactersWithSpaces>2622</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2019-08-30T01:29:00Z</dcterms:created>
  <dc:creator>13392</dc:creator>
  <cp:lastModifiedBy>13392</cp:lastModifiedBy>
  <dcterms:modified xsi:type="dcterms:W3CDTF">2019-09-09T03:47:22Z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2052-11.1.0.9022</vt:lpwstr>
  </property>
</Properties>
</file>