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pacing w:beforeLines="0" w:afterLines="0" w:line="580" w:lineRule="exact"/>
        <w:jc w:val="center"/>
        <w:rPr>
          <w:rFonts w:hint="default" w:ascii="黑体" w:hAnsi="黑体" w:eastAsia="黑体" w:cs="Times New Roman"/>
          <w:color w:val="auto"/>
          <w:kern w:val="2"/>
          <w:sz w:val="44"/>
          <w:lang w:val="zh-CN"/>
        </w:rPr>
      </w:pPr>
      <w:r>
        <w:rPr>
          <w:rFonts w:hint="eastAsia" w:ascii="黑体" w:hAnsi="黑体" w:eastAsia="黑体" w:cs="Times New Roman"/>
          <w:color w:val="auto"/>
          <w:kern w:val="2"/>
          <w:sz w:val="44"/>
          <w:lang w:val="zh-CN"/>
        </w:rPr>
        <w:t>天津渤海水产研究所</w:t>
      </w:r>
      <w:r>
        <w:rPr>
          <w:rFonts w:hint="eastAsia" w:ascii="黑体" w:hAnsi="黑体" w:eastAsia="黑体" w:cs="Times New Roman"/>
          <w:color w:val="auto"/>
          <w:kern w:val="2"/>
          <w:sz w:val="44"/>
          <w:lang w:val="zh-CN"/>
        </w:rPr>
        <w:t>2018</w:t>
      </w:r>
      <w:r>
        <w:rPr>
          <w:rFonts w:hint="eastAsia" w:ascii="黑体" w:hAnsi="黑体" w:eastAsia="黑体" w:cs="Times New Roman"/>
          <w:color w:val="auto"/>
          <w:kern w:val="2"/>
          <w:sz w:val="44"/>
          <w:lang w:val="zh-CN"/>
        </w:rPr>
        <w:t>年度一般公共预算财政拨款</w:t>
      </w:r>
    </w:p>
    <w:p>
      <w:pPr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pacing w:beforeLines="0" w:afterLines="0" w:line="580" w:lineRule="exact"/>
        <w:jc w:val="center"/>
        <w:rPr>
          <w:rFonts w:hint="default" w:ascii="黑体" w:hAnsi="黑体" w:eastAsia="黑体" w:cs="Times New Roman"/>
          <w:color w:val="auto"/>
          <w:kern w:val="2"/>
          <w:sz w:val="44"/>
          <w:lang w:val="zh-CN"/>
        </w:rPr>
      </w:pPr>
      <w:r>
        <w:rPr>
          <w:rFonts w:hint="default" w:ascii="黑体" w:hAnsi="黑体" w:eastAsia="黑体" w:cs="Times New Roman"/>
          <w:color w:val="auto"/>
          <w:kern w:val="2"/>
          <w:sz w:val="44"/>
          <w:lang w:val="zh-CN"/>
        </w:rPr>
        <w:t>“</w:t>
      </w:r>
      <w:r>
        <w:rPr>
          <w:rFonts w:hint="eastAsia" w:ascii="黑体" w:hAnsi="黑体" w:eastAsia="黑体" w:cs="Times New Roman"/>
          <w:color w:val="auto"/>
          <w:kern w:val="2"/>
          <w:sz w:val="44"/>
          <w:lang w:val="zh-CN"/>
        </w:rPr>
        <w:t>三公</w:t>
      </w:r>
      <w:r>
        <w:rPr>
          <w:rFonts w:hint="default" w:ascii="黑体" w:hAnsi="黑体" w:eastAsia="黑体" w:cs="Times New Roman"/>
          <w:color w:val="auto"/>
          <w:kern w:val="2"/>
          <w:sz w:val="44"/>
          <w:lang w:val="zh-CN"/>
        </w:rPr>
        <w:t>”</w:t>
      </w:r>
      <w:r>
        <w:rPr>
          <w:rFonts w:hint="eastAsia" w:ascii="黑体" w:hAnsi="黑体" w:eastAsia="黑体" w:cs="Times New Roman"/>
          <w:color w:val="auto"/>
          <w:kern w:val="2"/>
          <w:sz w:val="44"/>
          <w:lang w:val="zh-CN"/>
        </w:rPr>
        <w:t>经费决算情况说明</w:t>
      </w:r>
    </w:p>
    <w:p>
      <w:pPr>
        <w:spacing w:line="560" w:lineRule="exact"/>
        <w:ind w:firstLine="600"/>
        <w:rPr>
          <w:rFonts w:hint="default" w:ascii="Helvetica" w:hAnsi="Helvetica" w:eastAsia="Helvetica" w:cs="Helvetica"/>
          <w:sz w:val="30"/>
          <w:szCs w:val="30"/>
        </w:rPr>
      </w:pPr>
    </w:p>
    <w:p>
      <w:pPr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pacing w:beforeLines="0" w:afterLines="0" w:line="580" w:lineRule="exact"/>
        <w:ind w:firstLine="600"/>
        <w:jc w:val="left"/>
        <w:rPr>
          <w:rFonts w:hint="eastAsia" w:ascii="仿宋_GB2312" w:hAnsi="仿宋_GB2312" w:eastAsia="仿宋_GB2312" w:cs="Times New Roman"/>
          <w:color w:val="auto"/>
          <w:kern w:val="2"/>
          <w:sz w:val="30"/>
          <w:lang w:val="zh-CN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0"/>
          <w:lang w:val="zh-CN"/>
        </w:rPr>
        <w:t>2018年一般公共预算财政拨款“三公”经费决算102,578.54元，与2017年决算相比增加3,018.64元，主要原因是2018年工作任务增加。具体情况：</w:t>
      </w:r>
    </w:p>
    <w:p>
      <w:pPr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pacing w:beforeLines="0" w:afterLines="0" w:line="580" w:lineRule="exact"/>
        <w:ind w:firstLine="600"/>
        <w:jc w:val="left"/>
        <w:rPr>
          <w:rFonts w:hint="eastAsia" w:ascii="仿宋_GB2312" w:hAnsi="仿宋_GB2312" w:eastAsia="仿宋_GB2312" w:cs="Times New Roman"/>
          <w:color w:val="auto"/>
          <w:kern w:val="2"/>
          <w:sz w:val="30"/>
          <w:lang w:val="zh-CN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0"/>
          <w:lang w:val="zh-CN"/>
        </w:rPr>
        <w:t>一、2018年因公出国（境）费决算0元，与2017年决算相比增加0元，主要原因是本年度未用一般公共预算财政拨款列支“三公”经费。2018年本单位组织的出国团组0个，出国0人次。</w:t>
      </w:r>
    </w:p>
    <w:p>
      <w:pPr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pacing w:beforeLines="0" w:afterLines="0" w:line="580" w:lineRule="exact"/>
        <w:ind w:firstLine="600"/>
        <w:jc w:val="left"/>
        <w:rPr>
          <w:rFonts w:hint="eastAsia" w:ascii="仿宋_GB2312" w:hAnsi="仿宋_GB2312" w:eastAsia="仿宋_GB2312" w:cs="Times New Roman"/>
          <w:color w:val="auto"/>
          <w:kern w:val="2"/>
          <w:sz w:val="30"/>
          <w:lang w:val="zh-CN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0"/>
          <w:lang w:val="zh-CN"/>
        </w:rPr>
        <w:t>二、2018年公务用车购置及运行维护费决算99,997.54元，其中公务用车运行维护费99,997.54元，与2017年相比增加1,546.64元，主要原因是汽油柴油价格上涨；公务用车购置费0元，与2017年决算相比增加0元，主要原因是本年度未用一般公共预算财政拨款列支“三公”经费。2018年本单位公务用车保有3辆，购置公务用车0辆。</w:t>
      </w:r>
    </w:p>
    <w:p>
      <w:pPr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pacing w:beforeLines="0" w:afterLines="0" w:line="580" w:lineRule="exact"/>
        <w:ind w:firstLine="600"/>
        <w:jc w:val="left"/>
        <w:rPr>
          <w:rFonts w:hint="eastAsia" w:ascii="仿宋_GB2312" w:hAnsi="仿宋_GB2312" w:eastAsia="仿宋_GB2312" w:cs="Times New Roman"/>
          <w:color w:val="auto"/>
          <w:kern w:val="2"/>
          <w:sz w:val="30"/>
          <w:lang w:val="zh-CN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0"/>
          <w:lang w:val="zh-CN"/>
        </w:rPr>
        <w:t>三、2018年公务接待费决算2,581元，与2017年决算相比增加1,472元，主要原因是2018年工作任务增加。2018年本单位国内公务接待3批次，14人次；其中，外事接待0批次，0人次。</w:t>
      </w:r>
    </w:p>
    <w:p>
      <w:pPr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pacing w:beforeLines="0" w:afterLines="0" w:line="580" w:lineRule="exact"/>
        <w:ind w:firstLine="600"/>
        <w:jc w:val="left"/>
        <w:rPr>
          <w:rFonts w:hint="eastAsia" w:ascii="仿宋_GB2312" w:hAnsi="仿宋_GB2312" w:eastAsia="仿宋_GB2312" w:cs="Times New Roman"/>
          <w:color w:val="auto"/>
          <w:kern w:val="2"/>
          <w:sz w:val="30"/>
          <w:lang w:val="zh-CN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E13DD"/>
    <w:rsid w:val="001C0B3A"/>
    <w:rsid w:val="004E13DD"/>
    <w:rsid w:val="00DF4D43"/>
    <w:rsid w:val="69452DA4"/>
    <w:rsid w:val="70E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5"/>
    <w:link w:val="3"/>
    <w:semiHidden/>
    <w:uiPriority w:val="99"/>
    <w:rPr>
      <w:rFonts w:ascii="Arial Unicode MS" w:hAnsi="Arial Unicode MS" w:eastAsia="Helvetica Neue" w:cs="Arial Unicode MS"/>
      <w:color w:val="000000"/>
      <w:sz w:val="18"/>
      <w:szCs w:val="18"/>
      <w:lang w:val="zh-CN"/>
    </w:rPr>
  </w:style>
  <w:style w:type="character" w:customStyle="1" w:styleId="9">
    <w:name w:val="页脚 Char"/>
    <w:basedOn w:val="5"/>
    <w:link w:val="2"/>
    <w:semiHidden/>
    <w:uiPriority w:val="99"/>
    <w:rPr>
      <w:rFonts w:ascii="Arial Unicode MS" w:hAnsi="Arial Unicode MS" w:eastAsia="Helvetica Neue" w:cs="Arial Unicode MS"/>
      <w:color w:val="00000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中国移通天津公司</Company>
  <Pages>1</Pages>
  <Words>70</Words>
  <Characters>405</Characters>
  <Lines>3</Lines>
  <Paragraphs>1</Paragraphs>
  <TotalTime>1</TotalTime>
  <ScaleCrop>false</ScaleCrop>
  <LinksUpToDate>false</LinksUpToDate>
  <CharactersWithSpaces>474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2019-08-29T03:15:00Z</dcterms:created>
  <dc:creator>Administrator</dc:creator>
  <cp:lastModifiedBy>13392</cp:lastModifiedBy>
  <dcterms:modified xsi:type="dcterms:W3CDTF">2019-09-09T03:20:47Z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