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52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Cs/>
          <w:sz w:val="36"/>
          <w:szCs w:val="36"/>
        </w:rPr>
        <w:t>天津市单产提升优机优补机具品目补贴额一览表（公示）</w:t>
      </w:r>
    </w:p>
    <w:bookmarkEnd w:id="0"/>
    <w:tbl>
      <w:tblPr>
        <w:tblStyle w:val="2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921"/>
        <w:gridCol w:w="1276"/>
        <w:gridCol w:w="2552"/>
        <w:gridCol w:w="5953"/>
        <w:gridCol w:w="155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大类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小类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品目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档次名称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基本配置和参数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市财政补贴限额（万元）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种植施肥机械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播种机械（可含施肥功能）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条播机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20行及以上条播机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悬挂式；播种行数≥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20行；工作幅宽≥3m；最低作业速度≥8km/h；单体独立同步仿形；整地型式：动力驱动耙；播前播后双镇压机构；配置播种作业监测终端或具有播种质量监控及报警系统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单粒（精密）播种机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4-5行电驱高性能单粒（精密）播种机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播种行数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4、5行；排种器为气力式；排种器驱动方式为电驱；独立无级或多级镇压机构；最低作业速度≥8km/h；单体独立同步仿形；配置播种作业监测终端或具有播种质量监控及报警系统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6行及以上电驱高性能单粒（精密）播种机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播种行数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6行及以上；排种器为气力式；排种器驱动方式为电驱；独立无级或多级镇压机构；最低作业速度≥8km/h；单体独立同步仿形；配置播种作业监测终端或具有播种质量监控及报警系统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农用动力机械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拖拉机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200马力及以上无级变速拖拉机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功率≥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200马力；驱动方式：四轮驱动；换挡方式：无级变速；最小使用比质量（kg/kw）≥46.0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right="220"/>
        <w:jc w:val="left"/>
        <w:rPr>
          <w:rFonts w:ascii="Times New Roman" w:hAnsi="Times New Roman" w:eastAsia="仿宋" w:cs="Times New Roman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YjhiODFlYzY5NTMwNjViZjI1YTBlY2M0ZTE4ZmQifQ=="/>
  </w:docVars>
  <w:rsids>
    <w:rsidRoot w:val="73B90DA4"/>
    <w:rsid w:val="73B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2024-05-24T13:41:00Z</dcterms:created>
  <dc:creator>jiangyongmeimei</dc:creator>
  <cp:lastModifiedBy>jiangyongmeimei</cp:lastModifiedBy>
  <dcterms:modified xsi:type="dcterms:W3CDTF">2024-05-24T13:41:32Z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DD58712FB8ED4AB9AAA3EDADC6706F6B_11</vt:lpwstr>
  </property>
</Properties>
</file>